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_RefHeading___Toc5848_3491215576"/>
    <w:bookmarkEnd w:id="0"/>
    <w:p w:rsidR="008149DD" w:rsidRDefault="00EE5874">
      <w:pPr>
        <w:pStyle w:val="Zkladntext"/>
        <w:rPr>
          <w:rFonts w:ascii="Calibri" w:hAnsi="Calibri"/>
          <w:b/>
          <w:bCs/>
          <w:sz w:val="72"/>
          <w:szCs w:val="72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12065" distL="0" distR="0" simplePos="0" relativeHeight="2" behindDoc="0" locked="0" layoutInCell="0" allowOverlap="1" wp14:anchorId="2C5ECA7F">
                <wp:simplePos x="0" y="0"/>
                <wp:positionH relativeFrom="column">
                  <wp:posOffset>260985</wp:posOffset>
                </wp:positionH>
                <wp:positionV relativeFrom="paragraph">
                  <wp:posOffset>208915</wp:posOffset>
                </wp:positionV>
                <wp:extent cx="1245870" cy="1268095"/>
                <wp:effectExtent l="264795" t="255270" r="264160" b="255270"/>
                <wp:wrapSquare wrapText="largest"/>
                <wp:docPr id="1" name="Obráze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1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rot="18900000">
                          <a:off x="0" y="0"/>
                          <a:ext cx="1245960" cy="1267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1" stroked="f" o:allowincell="f" style="position:absolute;margin-left:20.5pt;margin-top:16.45pt;width:98.05pt;height:99.8pt;mso-wrap-style:none;v-text-anchor:middle;rotation:315" wp14:anchorId="2C5ECA7F" type="_x0000_t75">
                <v:imagedata r:id="rId9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rPr>
          <w:rFonts w:ascii="Calibri" w:hAnsi="Calibri"/>
          <w:b/>
          <w:bCs/>
          <w:sz w:val="72"/>
          <w:szCs w:val="72"/>
        </w:rPr>
        <w:t xml:space="preserve">                         </w:t>
      </w:r>
    </w:p>
    <w:p w:rsidR="008149DD" w:rsidRDefault="008149DD">
      <w:pPr>
        <w:pStyle w:val="Zkladntext"/>
        <w:rPr>
          <w:rFonts w:hint="eastAsia"/>
          <w:color w:val="000000"/>
        </w:rPr>
      </w:pPr>
    </w:p>
    <w:p w:rsidR="008149DD" w:rsidRDefault="008149DD">
      <w:pPr>
        <w:pStyle w:val="Zkladntext"/>
        <w:rPr>
          <w:rFonts w:hint="eastAsia"/>
          <w:color w:val="000000"/>
        </w:rPr>
      </w:pPr>
    </w:p>
    <w:p w:rsidR="008149DD" w:rsidRDefault="00EE5874">
      <w:pPr>
        <w:pStyle w:val="Zkladntext"/>
        <w:spacing w:after="0" w:line="0" w:lineRule="atLeast"/>
        <w:rPr>
          <w:rFonts w:ascii="Calibri" w:hAnsi="Calibri"/>
          <w:b/>
          <w:bCs/>
          <w:sz w:val="72"/>
          <w:szCs w:val="72"/>
        </w:rPr>
      </w:pPr>
      <w:bookmarkStart w:id="1" w:name="__RefHeading___Toc5850_3491215576"/>
      <w:bookmarkEnd w:id="1"/>
      <w:r>
        <w:rPr>
          <w:rFonts w:ascii="Calibri" w:hAnsi="Calibri"/>
          <w:b/>
          <w:bCs/>
          <w:color w:val="000000"/>
          <w:sz w:val="72"/>
          <w:szCs w:val="72"/>
        </w:rPr>
        <w:t xml:space="preserve">KOMUNITNÍ PLÁN </w:t>
      </w: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5283835</wp:posOffset>
            </wp:positionH>
            <wp:positionV relativeFrom="paragraph">
              <wp:posOffset>-20955</wp:posOffset>
            </wp:positionV>
            <wp:extent cx="3982085" cy="3496310"/>
            <wp:effectExtent l="0" t="0" r="0" b="0"/>
            <wp:wrapSquare wrapText="largest"/>
            <wp:docPr id="2" name="Obrázek 19" descr="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9" descr="Bez názvu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349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000000"/>
          <w:sz w:val="72"/>
          <w:szCs w:val="72"/>
        </w:rPr>
        <w:br/>
        <w:t xml:space="preserve">SOCIÁLNÍCH SLUŽEB </w:t>
      </w:r>
      <w:r>
        <w:rPr>
          <w:rFonts w:ascii="Calibri" w:hAnsi="Calibri"/>
          <w:b/>
          <w:bCs/>
          <w:color w:val="000000"/>
          <w:sz w:val="72"/>
          <w:szCs w:val="72"/>
        </w:rPr>
        <w:br/>
        <w:t xml:space="preserve">A SOUVISEJÍCÍCH AKTIVIT </w:t>
      </w:r>
      <w:r>
        <w:rPr>
          <w:rFonts w:ascii="Calibri" w:hAnsi="Calibri"/>
          <w:b/>
          <w:bCs/>
          <w:color w:val="000000"/>
          <w:sz w:val="72"/>
          <w:szCs w:val="72"/>
        </w:rPr>
        <w:br/>
        <w:t xml:space="preserve">PRO SPRÁVNÍ ÚZEMÍ </w:t>
      </w:r>
      <w:r>
        <w:rPr>
          <w:rFonts w:ascii="Calibri" w:hAnsi="Calibri"/>
          <w:b/>
          <w:bCs/>
          <w:color w:val="000000"/>
          <w:sz w:val="72"/>
          <w:szCs w:val="72"/>
        </w:rPr>
        <w:br/>
        <w:t>ORP HLINSKO</w:t>
      </w:r>
      <w:r>
        <w:rPr>
          <w:rFonts w:ascii="Calibri" w:hAnsi="Calibri"/>
          <w:b/>
          <w:bCs/>
          <w:color w:val="000000"/>
          <w:sz w:val="72"/>
          <w:szCs w:val="72"/>
        </w:rPr>
        <w:br/>
      </w:r>
      <w:r>
        <w:rPr>
          <w:rFonts w:ascii="Calibri" w:hAnsi="Calibri"/>
          <w:color w:val="000000"/>
          <w:sz w:val="72"/>
          <w:szCs w:val="72"/>
        </w:rPr>
        <w:t>NA OBDOBÍ 2023 – 2025</w:t>
      </w:r>
    </w:p>
    <w:p w:rsidR="008149DD" w:rsidRDefault="008149DD">
      <w:pPr>
        <w:pStyle w:val="Zkladntext"/>
        <w:spacing w:after="0" w:line="0" w:lineRule="atLeast"/>
        <w:rPr>
          <w:rFonts w:hint="eastAsia"/>
          <w:color w:val="000000"/>
        </w:rPr>
      </w:pPr>
    </w:p>
    <w:p w:rsidR="008149DD" w:rsidRDefault="008149DD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p w:rsidR="00EE5874" w:rsidRDefault="00EE5874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sz w:val="24"/>
          <w:szCs w:val="22"/>
        </w:rPr>
        <w:id w:val="157746890"/>
        <w:docPartObj>
          <w:docPartGallery w:val="Table of Contents"/>
          <w:docPartUnique/>
        </w:docPartObj>
      </w:sdtPr>
      <w:sdtEndPr/>
      <w:sdtContent>
        <w:p w:rsidR="008149DD" w:rsidRDefault="00EE5874">
          <w:pPr>
            <w:pStyle w:val="Nadpisobsahu"/>
          </w:pPr>
          <w:r>
            <w:t>Obsah</w:t>
          </w:r>
        </w:p>
        <w:p w:rsidR="008149DD" w:rsidRDefault="00EE5874">
          <w:pPr>
            <w:pStyle w:val="Obsah1"/>
            <w:tabs>
              <w:tab w:val="clear" w:pos="660"/>
              <w:tab w:val="clear" w:pos="9072"/>
              <w:tab w:val="right" w:leader="dot" w:pos="14715"/>
            </w:tabs>
          </w:pPr>
          <w:r>
            <w:fldChar w:fldCharType="begin"/>
          </w:r>
          <w:r>
            <w:rPr>
              <w:rStyle w:val="Odkaznarejstk"/>
            </w:rPr>
            <w:instrText xml:space="preserve"> TOC \f \o "1-9" \h</w:instrText>
          </w:r>
          <w:r>
            <w:rPr>
              <w:rStyle w:val="Odkaznarejstk"/>
            </w:rPr>
            <w:fldChar w:fldCharType="separate"/>
          </w:r>
          <w:hyperlink w:anchor="__RefHeading___Toc5852_3491215576">
            <w:r>
              <w:rPr>
                <w:rStyle w:val="Odkaznarejstk"/>
              </w:rPr>
              <w:t xml:space="preserve">1. Legislativní rámec </w:t>
            </w:r>
            <w:r>
              <w:rPr>
                <w:rStyle w:val="Odkaznarejstk"/>
              </w:rPr>
              <w:t>komunitního plánování rozvoje sociálních služeb v ORP Hlinsko</w:t>
            </w:r>
            <w:r>
              <w:rPr>
                <w:rStyle w:val="Odkaznarejstk"/>
              </w:rPr>
              <w:tab/>
              <w:t>3</w:t>
            </w:r>
          </w:hyperlink>
        </w:p>
        <w:p w:rsidR="008149DD" w:rsidRDefault="00EE5874">
          <w:pPr>
            <w:pStyle w:val="Obsah1"/>
            <w:tabs>
              <w:tab w:val="clear" w:pos="660"/>
              <w:tab w:val="clear" w:pos="9072"/>
              <w:tab w:val="right" w:leader="dot" w:pos="14715"/>
            </w:tabs>
          </w:pPr>
          <w:hyperlink w:anchor="__RefHeading___Toc5888_3491215576">
            <w:r>
              <w:rPr>
                <w:rStyle w:val="Odkaznarejstk"/>
              </w:rPr>
              <w:t>2. Trendy při zajišťování kvality života osob v nepříznivé sociální situaci</w:t>
            </w:r>
            <w:r>
              <w:rPr>
                <w:rStyle w:val="Odkaznarejstk"/>
              </w:rPr>
              <w:tab/>
              <w:t>4</w:t>
            </w:r>
          </w:hyperlink>
        </w:p>
        <w:p w:rsidR="008149DD" w:rsidRDefault="00EE5874">
          <w:pPr>
            <w:pStyle w:val="Obsah1"/>
            <w:tabs>
              <w:tab w:val="clear" w:pos="660"/>
              <w:tab w:val="clear" w:pos="9072"/>
              <w:tab w:val="right" w:leader="dot" w:pos="14715"/>
            </w:tabs>
          </w:pPr>
          <w:hyperlink w:anchor="__RefHeading___Toc5886_3491215576">
            <w:r>
              <w:rPr>
                <w:rStyle w:val="Odkaznarejstk"/>
              </w:rPr>
              <w:t>3.</w:t>
            </w:r>
            <w:r>
              <w:rPr>
                <w:rStyle w:val="Odkaznarejstk"/>
              </w:rPr>
              <w:t xml:space="preserve"> Poskytovatelé sociálních služeb a souvisejících aktivit působící v ORP Hlinsko a spádoví poskytovatelé</w:t>
            </w:r>
            <w:r>
              <w:rPr>
                <w:rStyle w:val="Odkaznarejstk"/>
              </w:rPr>
              <w:tab/>
              <w:t>7</w:t>
            </w:r>
          </w:hyperlink>
        </w:p>
        <w:p w:rsidR="008149DD" w:rsidRDefault="00EE5874">
          <w:pPr>
            <w:pStyle w:val="Obsah1"/>
            <w:tabs>
              <w:tab w:val="clear" w:pos="660"/>
              <w:tab w:val="clear" w:pos="9072"/>
              <w:tab w:val="right" w:leader="dot" w:pos="14715"/>
            </w:tabs>
          </w:pPr>
          <w:hyperlink w:anchor="__RefHeading___Toc5890_3491215576">
            <w:r>
              <w:rPr>
                <w:rStyle w:val="Odkaznarejstk"/>
              </w:rPr>
              <w:t xml:space="preserve">4. Analytická část: analýza komunitního plánování sociálních služeb a souvisejících aktivit v </w:t>
            </w:r>
            <w:r>
              <w:rPr>
                <w:rStyle w:val="Odkaznarejstk"/>
              </w:rPr>
              <w:t>ORP Hlinsko</w:t>
            </w:r>
            <w:r>
              <w:rPr>
                <w:rStyle w:val="Odkaznarejstk"/>
              </w:rPr>
              <w:tab/>
              <w:t>13</w:t>
            </w:r>
          </w:hyperlink>
        </w:p>
        <w:p w:rsidR="008149DD" w:rsidRDefault="00EE5874">
          <w:pPr>
            <w:pStyle w:val="Obsah1"/>
            <w:tabs>
              <w:tab w:val="clear" w:pos="660"/>
              <w:tab w:val="clear" w:pos="9072"/>
              <w:tab w:val="right" w:leader="dot" w:pos="14715"/>
            </w:tabs>
          </w:pPr>
          <w:hyperlink w:anchor="__RefHeading___Toc5892_3491215576">
            <w:r>
              <w:rPr>
                <w:rStyle w:val="Odkaznarejstk"/>
              </w:rPr>
              <w:t>5. Návrhová část: cíle a opatření v prioritních oblastech</w:t>
            </w:r>
            <w:r>
              <w:rPr>
                <w:rStyle w:val="Odkaznarejstk"/>
              </w:rPr>
              <w:tab/>
              <w:t>19</w:t>
            </w:r>
          </w:hyperlink>
        </w:p>
        <w:p w:rsidR="008149DD" w:rsidRDefault="00EE5874">
          <w:pPr>
            <w:pStyle w:val="Obsah2"/>
            <w:tabs>
              <w:tab w:val="clear" w:pos="880"/>
              <w:tab w:val="clear" w:pos="9062"/>
              <w:tab w:val="right" w:leader="dot" w:pos="14715"/>
            </w:tabs>
          </w:pPr>
          <w:hyperlink w:anchor="__RefHeading___Toc5894_3491215576">
            <w:r>
              <w:rPr>
                <w:rStyle w:val="Odkaznarejstk"/>
              </w:rPr>
              <w:t xml:space="preserve"> 5.1  PO1 - Procesní a průřezová témata pro všechny cílové skupiny</w:t>
            </w:r>
            <w:r>
              <w:rPr>
                <w:rStyle w:val="Odkaznarejstk"/>
              </w:rPr>
              <w:tab/>
              <w:t>1</w:t>
            </w:r>
            <w:r>
              <w:rPr>
                <w:rStyle w:val="Odkaznarejstk"/>
              </w:rPr>
              <w:t>9</w:t>
            </w:r>
          </w:hyperlink>
        </w:p>
        <w:p w:rsidR="008149DD" w:rsidRDefault="00EE5874">
          <w:pPr>
            <w:pStyle w:val="Obsah2"/>
            <w:tabs>
              <w:tab w:val="clear" w:pos="880"/>
              <w:tab w:val="clear" w:pos="9062"/>
              <w:tab w:val="right" w:leader="dot" w:pos="14715"/>
            </w:tabs>
          </w:pPr>
          <w:hyperlink w:anchor="__RefHeading___Toc5896_3491215576">
            <w:r>
              <w:rPr>
                <w:rStyle w:val="Odkaznarejstk"/>
              </w:rPr>
              <w:t xml:space="preserve"> 5.2  PO2 - Rodinní pečující</w:t>
            </w:r>
            <w:r>
              <w:rPr>
                <w:rStyle w:val="Odkaznarejstk"/>
              </w:rPr>
              <w:tab/>
              <w:t>25</w:t>
            </w:r>
          </w:hyperlink>
        </w:p>
        <w:p w:rsidR="008149DD" w:rsidRDefault="00EE5874">
          <w:pPr>
            <w:pStyle w:val="Obsah2"/>
            <w:tabs>
              <w:tab w:val="clear" w:pos="880"/>
              <w:tab w:val="clear" w:pos="9062"/>
              <w:tab w:val="right" w:leader="dot" w:pos="14715"/>
            </w:tabs>
          </w:pPr>
          <w:hyperlink w:anchor="__RefHeading___Toc5925_3491215576">
            <w:r>
              <w:rPr>
                <w:rStyle w:val="Odkaznarejstk"/>
              </w:rPr>
              <w:t xml:space="preserve"> 5.3  PO3 - Senioři a osoby se zdravotním postižením</w:t>
            </w:r>
            <w:r>
              <w:rPr>
                <w:rStyle w:val="Odkaznarejstk"/>
              </w:rPr>
              <w:tab/>
              <w:t>29</w:t>
            </w:r>
          </w:hyperlink>
        </w:p>
        <w:p w:rsidR="008149DD" w:rsidRDefault="00EE5874">
          <w:pPr>
            <w:pStyle w:val="Obsah2"/>
            <w:tabs>
              <w:tab w:val="clear" w:pos="880"/>
              <w:tab w:val="clear" w:pos="9062"/>
              <w:tab w:val="right" w:leader="dot" w:pos="14715"/>
            </w:tabs>
          </w:pPr>
          <w:hyperlink w:anchor="__RefHeading___Toc5927_3491215576">
            <w:r>
              <w:rPr>
                <w:rStyle w:val="Odkaznarejstk"/>
              </w:rPr>
              <w:t xml:space="preserve"> 5.4  PO4 - Děti a rodiny</w:t>
            </w:r>
            <w:r>
              <w:rPr>
                <w:rStyle w:val="Odkaznarejstk"/>
              </w:rPr>
              <w:tab/>
              <w:t>33</w:t>
            </w:r>
          </w:hyperlink>
        </w:p>
        <w:p w:rsidR="008149DD" w:rsidRDefault="00EE5874">
          <w:pPr>
            <w:pStyle w:val="Obsah2"/>
            <w:tabs>
              <w:tab w:val="clear" w:pos="880"/>
              <w:tab w:val="clear" w:pos="9062"/>
              <w:tab w:val="right" w:leader="dot" w:pos="14715"/>
            </w:tabs>
          </w:pPr>
          <w:hyperlink w:anchor="__RefHeading___Toc5929_3491215576">
            <w:r>
              <w:rPr>
                <w:rStyle w:val="Odkaznarejstk"/>
              </w:rPr>
              <w:t xml:space="preserve"> 5.5  PO5 – Osoby v krizi / vážně ohrožené sociálním vyloučením</w:t>
            </w:r>
            <w:r>
              <w:rPr>
                <w:rStyle w:val="Odkaznarejstk"/>
              </w:rPr>
              <w:tab/>
              <w:t>37</w:t>
            </w:r>
          </w:hyperlink>
          <w:r>
            <w:rPr>
              <w:rStyle w:val="Odkaznarejstk"/>
            </w:rPr>
            <w:fldChar w:fldCharType="end"/>
          </w:r>
        </w:p>
      </w:sdtContent>
    </w:sdt>
    <w:p w:rsidR="008149DD" w:rsidRDefault="008149DD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p w:rsidR="008149DD" w:rsidRDefault="008149DD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p w:rsidR="008149DD" w:rsidRDefault="008149DD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p w:rsidR="008149DD" w:rsidRDefault="008149DD">
      <w:pPr>
        <w:ind w:left="432"/>
        <w:jc w:val="left"/>
        <w:rPr>
          <w:rFonts w:ascii="Calibri" w:hAnsi="Calibri"/>
          <w:color w:val="2E74B5"/>
          <w:sz w:val="72"/>
          <w:szCs w:val="72"/>
        </w:rPr>
      </w:pPr>
    </w:p>
    <w:p w:rsidR="008149DD" w:rsidRDefault="00EE5874">
      <w:pPr>
        <w:pStyle w:val="Nadpis1"/>
        <w:numPr>
          <w:ilvl w:val="0"/>
          <w:numId w:val="2"/>
        </w:numPr>
        <w:tabs>
          <w:tab w:val="left" w:pos="390"/>
        </w:tabs>
        <w:ind w:left="0" w:firstLine="0"/>
        <w:rPr>
          <w:rFonts w:ascii="Calibri" w:hAnsi="Calibri"/>
        </w:rPr>
      </w:pPr>
      <w:bookmarkStart w:id="2" w:name="__RefHeading___Toc5852_3491215576"/>
      <w:bookmarkEnd w:id="2"/>
      <w:r>
        <w:rPr>
          <w:rFonts w:ascii="Calibri" w:hAnsi="Calibri"/>
        </w:rPr>
        <w:lastRenderedPageBreak/>
        <w:t xml:space="preserve">Legislativní rámec komunitního plánování </w:t>
      </w:r>
      <w:r>
        <w:rPr>
          <w:rFonts w:ascii="Calibri" w:hAnsi="Calibri"/>
        </w:rPr>
        <w:t>rozvoje sociálních služeb v ORP Hlinsko</w:t>
      </w:r>
    </w:p>
    <w:p w:rsidR="008149DD" w:rsidRDefault="00EE5874">
      <w:pPr>
        <w:jc w:val="left"/>
      </w:pPr>
      <w:r>
        <w:rPr>
          <w:color w:val="000000"/>
        </w:rPr>
        <w:t xml:space="preserve">Komunitní plánování rozvoje sociálních služeb (a souvisejících aktivit) je proces zakotvený v legislativě. Jeho prostřednictvím obce ve spolupráci s krajem, poskytovateli služeb a jejich uživateli zabezpečují </w:t>
      </w:r>
      <w:r>
        <w:rPr>
          <w:color w:val="000000"/>
        </w:rPr>
        <w:t>sociální potřeby svých občanů.</w:t>
      </w:r>
    </w:p>
    <w:tbl>
      <w:tblPr>
        <w:tblStyle w:val="Mkatabulky"/>
        <w:tblW w:w="148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664"/>
        <w:gridCol w:w="5310"/>
        <w:gridCol w:w="7846"/>
      </w:tblGrid>
      <w:tr w:rsidR="008149DD">
        <w:tc>
          <w:tcPr>
            <w:tcW w:w="1664" w:type="dxa"/>
            <w:tcBorders>
              <w:top w:val="single" w:sz="36" w:space="0" w:color="4472C4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widowControl w:val="0"/>
              <w:spacing w:after="0" w:line="0" w:lineRule="atLeast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>
              <w:rPr>
                <w:rFonts w:eastAsia="Calibri"/>
                <w:b/>
                <w:bCs/>
                <w:sz w:val="40"/>
                <w:szCs w:val="40"/>
              </w:rPr>
              <w:t>OBEC</w:t>
            </w:r>
          </w:p>
        </w:tc>
        <w:tc>
          <w:tcPr>
            <w:tcW w:w="5310" w:type="dxa"/>
            <w:tcBorders>
              <w:top w:val="single" w:sz="36" w:space="0" w:color="4472C4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Zjišťuje sociální potřeby svých občanů</w:t>
            </w:r>
          </w:p>
        </w:tc>
        <w:tc>
          <w:tcPr>
            <w:tcW w:w="7846" w:type="dxa"/>
            <w:tcBorders>
              <w:top w:val="single" w:sz="36" w:space="0" w:color="4472C4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3" w:name="__RefHeading___Toc5854_3491215576"/>
            <w:bookmarkEnd w:id="3"/>
            <w:r>
              <w:rPr>
                <w:rFonts w:ascii="Calibri" w:hAnsi="Calibri"/>
                <w:sz w:val="22"/>
                <w:szCs w:val="22"/>
              </w:rPr>
              <w:t>§35, odst. 2, z. č. 128/2000 Sb., o obcích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a) z. č. 108/2006 Sb., o soc. službách</w:t>
            </w: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4" w:name="__RefHeading___Toc5856_3491215576"/>
            <w:bookmarkEnd w:id="4"/>
            <w:r>
              <w:rPr>
                <w:rFonts w:ascii="Calibri" w:hAnsi="Calibri"/>
                <w:b/>
                <w:bCs/>
                <w:sz w:val="22"/>
                <w:szCs w:val="22"/>
              </w:rPr>
              <w:t>Poskytuje základní informace o přístupu k sociálním službám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5" w:name="__RefHeading___Toc5858_3491215576"/>
            <w:bookmarkEnd w:id="5"/>
            <w:r>
              <w:rPr>
                <w:rFonts w:ascii="Calibri" w:hAnsi="Calibri"/>
                <w:sz w:val="22"/>
                <w:szCs w:val="22"/>
              </w:rPr>
              <w:t xml:space="preserve">§35, odst. 2, z. č. </w:t>
            </w:r>
            <w:r>
              <w:rPr>
                <w:rFonts w:ascii="Calibri" w:hAnsi="Calibri"/>
                <w:sz w:val="22"/>
                <w:szCs w:val="22"/>
              </w:rPr>
              <w:t>128/2000 Sb., o obcích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b) z. č. 108/2006 Sb., o sociálních službách</w:t>
            </w: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6" w:name="__RefHeading___Toc5860_3491215576"/>
            <w:bookmarkEnd w:id="6"/>
            <w:r>
              <w:rPr>
                <w:rFonts w:ascii="Calibri" w:hAnsi="Calibri"/>
                <w:b/>
                <w:bCs/>
                <w:sz w:val="22"/>
                <w:szCs w:val="22"/>
              </w:rPr>
              <w:t>Spolupracuje s dalšími obcemi, kraji a službami při zajištění pomoci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7" w:name="__RefHeading___Toc5862_3491215576"/>
            <w:bookmarkEnd w:id="7"/>
            <w:r>
              <w:rPr>
                <w:rFonts w:ascii="Calibri" w:hAnsi="Calibri"/>
                <w:sz w:val="22"/>
                <w:szCs w:val="22"/>
              </w:rPr>
              <w:t>§46, 47, 54, z. č. 128/2000 Sb., o obcích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c) z. č. 108/2006 Sb., o sociálních službách</w:t>
            </w: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8" w:name="__RefHeading___Toc5864_3491215576"/>
            <w:bookmarkEnd w:id="8"/>
            <w:r>
              <w:rPr>
                <w:rFonts w:asciiTheme="minorHAnsi" w:eastAsia="Calibri" w:hAnsiTheme="minorHAnsi"/>
                <w:b/>
                <w:bCs/>
                <w:kern w:val="2"/>
                <w:sz w:val="22"/>
                <w:szCs w:val="22"/>
              </w:rPr>
              <w:t xml:space="preserve">Může zpracovat komunitní plán sociálních služeb na svém území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(ve spolupráci s krajem, službami a jejich uživateli)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d), §104, odst. 3, písm. b); příp. §3 písm. h) z. č. 108/2006 Sb., o sociálních službách</w:t>
            </w:r>
          </w:p>
          <w:p w:rsidR="008149DD" w:rsidRDefault="008149DD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Prostřednictvím rady města (starosty)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předkládá návrh komunitního plánu ke schválení zastupitelstvu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9" w:name="__RefHeading___Toc5866_3491215576"/>
            <w:bookmarkEnd w:id="9"/>
            <w:r>
              <w:rPr>
                <w:rFonts w:ascii="Calibri" w:hAnsi="Calibri"/>
                <w:sz w:val="22"/>
                <w:szCs w:val="22"/>
              </w:rPr>
              <w:t>§102 a §84, z. č. 128/2000 Sb., o obcích</w:t>
            </w:r>
          </w:p>
          <w:p w:rsidR="008149DD" w:rsidRDefault="008149DD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0" w:name="__RefHeading___Toc5868_3491215576"/>
            <w:bookmarkEnd w:id="10"/>
            <w:r>
              <w:rPr>
                <w:rFonts w:ascii="Calibri" w:hAnsi="Calibri"/>
                <w:b/>
                <w:bCs/>
                <w:sz w:val="22"/>
                <w:szCs w:val="22"/>
              </w:rPr>
              <w:t>Poskytuje kraji informace potřebné pro zajištění potřeb svých občanů a pro rozvoj sítě služeb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e), f) z. č. 108/2006 Sb., o sociálních službá</w:t>
            </w:r>
            <w:r>
              <w:rPr>
                <w:rStyle w:val="PromnnHTML"/>
                <w:rFonts w:ascii="Calibri" w:hAnsi="Calibri"/>
                <w:sz w:val="22"/>
                <w:szCs w:val="22"/>
              </w:rPr>
              <w:t>ch</w:t>
            </w:r>
          </w:p>
          <w:p w:rsidR="008149DD" w:rsidRDefault="008149DD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Podílí se na financování sociálních služeb a spoluvytváří další podmínky pro zajištění potřeb občanů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11" w:name="__RefHeading___Toc5870_3491215576"/>
            <w:bookmarkEnd w:id="11"/>
            <w:r>
              <w:rPr>
                <w:rFonts w:ascii="Calibri" w:hAnsi="Calibri"/>
                <w:sz w:val="22"/>
                <w:szCs w:val="22"/>
              </w:rPr>
              <w:t>§35, odst. 2, z. č. 128/2000 Sb., o obcích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bookmarkStart w:id="12" w:name="__RefHeading___Toc5872_3491215576"/>
            <w:bookmarkEnd w:id="12"/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f), §105 z. č. 108/2006 Sb., o sociálních službách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bookmarkStart w:id="13" w:name="__RefHeading___Toc5874_3491215576"/>
            <w:bookmarkEnd w:id="13"/>
            <w:r>
              <w:rPr>
                <w:rStyle w:val="PromnnHTML"/>
                <w:rFonts w:asciiTheme="minorHAnsi" w:hAnsiTheme="minorHAnsi" w:cs="Calibri"/>
                <w:color w:val="000000"/>
                <w:sz w:val="22"/>
                <w:szCs w:val="22"/>
                <w:lang w:eastAsia="en-US" w:bidi="ar-SA"/>
              </w:rPr>
              <w:t xml:space="preserve">§7, §9 </w:t>
            </w:r>
            <w:r>
              <w:rPr>
                <w:rFonts w:asciiTheme="minorHAnsi" w:hAnsiTheme="minorHAnsi" w:cs="Calibri"/>
                <w:i/>
                <w:iCs/>
                <w:sz w:val="22"/>
                <w:szCs w:val="22"/>
                <w:lang w:eastAsia="en-US" w:bidi="ar-SA"/>
              </w:rPr>
              <w:t>z. č. 134/2016 Sb.,</w:t>
            </w:r>
            <w:r>
              <w:rPr>
                <w:rStyle w:val="h1a"/>
                <w:rFonts w:asciiTheme="minorHAnsi" w:hAnsiTheme="minorHAnsi" w:cs="Calibri"/>
                <w:i/>
                <w:iCs/>
                <w:sz w:val="22"/>
                <w:szCs w:val="22"/>
                <w:lang w:eastAsia="en-US" w:bidi="ar-SA"/>
              </w:rPr>
              <w:t xml:space="preserve"> o zadávání veřejných zakázek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bookmarkStart w:id="14" w:name="__RefHeading___Toc5876_3491215576"/>
            <w:bookmarkEnd w:id="14"/>
            <w:r>
              <w:rPr>
                <w:rFonts w:asciiTheme="minorHAnsi" w:hAnsiTheme="minorHAnsi" w:cs="Calibri"/>
                <w:i/>
                <w:iCs/>
                <w:sz w:val="22"/>
                <w:szCs w:val="22"/>
                <w:lang w:eastAsia="en-US" w:bidi="ar-SA"/>
              </w:rPr>
              <w:t>§5–6 z. č. 250/2000 Sb.,</w:t>
            </w:r>
            <w:r>
              <w:rPr>
                <w:rStyle w:val="h1a"/>
                <w:rFonts w:asciiTheme="minorHAnsi" w:hAnsiTheme="minorHAnsi" w:cs="Calibri"/>
                <w:i/>
                <w:iCs/>
                <w:sz w:val="22"/>
                <w:szCs w:val="22"/>
                <w:lang w:eastAsia="en-US" w:bidi="ar-SA"/>
              </w:rPr>
              <w:t xml:space="preserve"> o rozpočtových pravidlech územních rozpočtů</w:t>
            </w:r>
          </w:p>
        </w:tc>
      </w:tr>
      <w:tr w:rsidR="008149DD">
        <w:tc>
          <w:tcPr>
            <w:tcW w:w="6974" w:type="dxa"/>
            <w:gridSpan w:val="2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5" w:name="__RefHeading___Toc5878_3491215576"/>
            <w:bookmarkEnd w:id="15"/>
            <w:r>
              <w:rPr>
                <w:rFonts w:ascii="Calibri" w:hAnsi="Calibri"/>
                <w:b/>
                <w:bCs/>
                <w:sz w:val="22"/>
                <w:szCs w:val="22"/>
              </w:rPr>
              <w:t>Prostřednictvím své vnitřní organizační složky nebo příspěvkové organizace může zřizovat sociální služby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bookmarkStart w:id="16" w:name="__RefHeading___Toc5880_3491215576"/>
            <w:bookmarkEnd w:id="16"/>
            <w:r>
              <w:rPr>
                <w:rFonts w:ascii="Calibri" w:hAnsi="Calibri"/>
                <w:sz w:val="22"/>
                <w:szCs w:val="22"/>
              </w:rPr>
              <w:t>§35, odst. 2, z. č. 128/2000 Sb., o obcích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 w:bidi="ar-SA"/>
              </w:rPr>
              <w:t xml:space="preserve">§27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 w:bidi="ar-SA"/>
              </w:rPr>
              <w:t>z. č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 w:bidi="ar-SA"/>
              </w:rPr>
              <w:t>. 250/2000 Sb.,</w:t>
            </w:r>
            <w:r>
              <w:rPr>
                <w:rStyle w:val="h1a"/>
                <w:rFonts w:ascii="Calibri" w:eastAsia="Calibri" w:hAnsi="Calibri" w:cs="Calibri"/>
                <w:i/>
                <w:iCs/>
                <w:sz w:val="22"/>
                <w:szCs w:val="22"/>
                <w:lang w:eastAsia="en-US" w:bidi="ar-SA"/>
              </w:rPr>
              <w:t xml:space="preserve"> o rozpočtových pravidlech územních rozpočtů</w:t>
            </w:r>
          </w:p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§94, písm. f), §78 a násl. z. č. 108/2006 Sb., o sociálních službách</w:t>
            </w:r>
          </w:p>
        </w:tc>
      </w:tr>
      <w:tr w:rsidR="008149DD">
        <w:tc>
          <w:tcPr>
            <w:tcW w:w="6974" w:type="dxa"/>
            <w:gridSpan w:val="2"/>
            <w:tcBorders>
              <w:top w:val="nil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7" w:name="__RefHeading___Toc5882_3491215576"/>
            <w:bookmarkEnd w:id="17"/>
            <w:r>
              <w:rPr>
                <w:rFonts w:ascii="Calibri" w:hAnsi="Calibri"/>
                <w:b/>
                <w:bCs/>
                <w:sz w:val="22"/>
                <w:szCs w:val="22"/>
              </w:rPr>
              <w:t>Zajišťuje preventivní činnost v oblasti sociálně-právní ochrany dětí</w:t>
            </w:r>
          </w:p>
        </w:tc>
        <w:tc>
          <w:tcPr>
            <w:tcW w:w="78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§10 z. č. 359/1999 Sb., o sociální-právní ochraně dětí</w:t>
            </w:r>
          </w:p>
        </w:tc>
      </w:tr>
      <w:tr w:rsidR="008149DD">
        <w:tc>
          <w:tcPr>
            <w:tcW w:w="1664" w:type="dxa"/>
            <w:tcBorders>
              <w:top w:val="single" w:sz="8" w:space="0" w:color="000000"/>
              <w:left w:val="single" w:sz="36" w:space="0" w:color="4472C4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:rsidR="008149DD" w:rsidRDefault="00EE5874">
            <w:pPr>
              <w:widowControl w:val="0"/>
              <w:spacing w:after="0" w:line="0" w:lineRule="atLeast"/>
              <w:jc w:val="center"/>
              <w:rPr>
                <w:rFonts w:ascii="Calibri" w:hAnsi="Calibri"/>
                <w:b/>
                <w:bCs/>
                <w:sz w:val="40"/>
                <w:szCs w:val="40"/>
              </w:rPr>
            </w:pPr>
            <w:r>
              <w:rPr>
                <w:rFonts w:eastAsia="Calibri" w:cs="Calibri"/>
                <w:b/>
                <w:bCs/>
                <w:sz w:val="40"/>
                <w:szCs w:val="40"/>
              </w:rPr>
              <w:t>POU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Obec s pověřeným obecním úřadem a obec s rozšířenou působností ve svém správním obvodu zajišťují sociální práci pro osoby v hmotné nouzi</w:t>
            </w:r>
          </w:p>
        </w:tc>
        <w:tc>
          <w:tcPr>
            <w:tcW w:w="7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4472C4"/>
            </w:tcBorders>
            <w:shd w:val="clear" w:color="auto" w:fill="auto"/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§7 a §64 odst. 3 z. č. 111/2006 Sb., o pomoci v hmotné nouzi</w:t>
            </w:r>
          </w:p>
          <w:p w:rsidR="008149DD" w:rsidRDefault="008149DD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8149DD">
        <w:tc>
          <w:tcPr>
            <w:tcW w:w="1664" w:type="dxa"/>
            <w:tcBorders>
              <w:top w:val="single" w:sz="6" w:space="0" w:color="000000"/>
              <w:left w:val="single" w:sz="36" w:space="0" w:color="4472C4"/>
              <w:bottom w:val="single" w:sz="6" w:space="0" w:color="000000"/>
              <w:right w:val="nil"/>
            </w:tcBorders>
            <w:shd w:val="clear" w:color="auto" w:fill="C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9DD" w:rsidRDefault="00EE5874">
            <w:pPr>
              <w:pStyle w:val="Zkladntext"/>
              <w:widowControl w:val="0"/>
              <w:spacing w:after="0" w:line="0" w:lineRule="atLeast"/>
              <w:jc w:val="center"/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Calibri" w:hAnsi="Calibri"/>
                <w:b/>
                <w:bCs/>
                <w:color w:val="FFFFFF"/>
                <w:sz w:val="40"/>
                <w:szCs w:val="40"/>
              </w:rPr>
              <w:t>ORP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Obec s rozšířenou působností na území svého </w:t>
            </w: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správního obvodu koordinuje poskytování sociálních služeb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6" w:space="0" w:color="4472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9DD" w:rsidRDefault="00EE5874">
            <w:pPr>
              <w:pStyle w:val="Zkladntext"/>
              <w:widowControl w:val="0"/>
              <w:spacing w:after="0" w:line="0" w:lineRule="atLeast"/>
              <w:rPr>
                <w:rFonts w:hint="eastAsia"/>
              </w:rPr>
            </w:pPr>
            <w:r>
              <w:rPr>
                <w:rStyle w:val="PromnnHTML"/>
                <w:rFonts w:ascii="Calibri" w:hAnsi="Calibri"/>
                <w:sz w:val="22"/>
                <w:szCs w:val="22"/>
              </w:rPr>
              <w:t>§92 z. č. 108/2006 Sb., o sociálních službách</w:t>
            </w:r>
          </w:p>
          <w:p w:rsidR="008149DD" w:rsidRDefault="008149DD">
            <w:pPr>
              <w:pStyle w:val="Zkladntext"/>
              <w:widowControl w:val="0"/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8149DD">
        <w:tc>
          <w:tcPr>
            <w:tcW w:w="6974" w:type="dxa"/>
            <w:gridSpan w:val="2"/>
            <w:tcBorders>
              <w:top w:val="nil"/>
              <w:left w:val="single" w:sz="36" w:space="0" w:color="4472C4"/>
              <w:bottom w:val="single" w:sz="36" w:space="0" w:color="4472C4"/>
              <w:right w:val="single" w:sz="8" w:space="0" w:color="000000"/>
            </w:tcBorders>
            <w:shd w:val="clear" w:color="auto" w:fill="C000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9DD" w:rsidRDefault="00EE5874">
            <w:pPr>
              <w:pStyle w:val="Zkladntext"/>
              <w:widowControl w:val="0"/>
              <w:spacing w:after="0" w:line="0" w:lineRule="atLeast"/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8" w:name="__RefHeading___Toc5884_3491215576"/>
            <w:bookmarkEnd w:id="18"/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Zajišťuje preventivní a poradenskou činnost a další ochranná opatření v oblasti sociálně-právní ochrany dětí</w:t>
            </w:r>
          </w:p>
        </w:tc>
        <w:tc>
          <w:tcPr>
            <w:tcW w:w="7846" w:type="dxa"/>
            <w:tcBorders>
              <w:top w:val="nil"/>
              <w:left w:val="single" w:sz="8" w:space="0" w:color="000000"/>
              <w:bottom w:val="single" w:sz="36" w:space="0" w:color="4472C4"/>
              <w:right w:val="single" w:sz="36" w:space="0" w:color="4472C4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9DD" w:rsidRDefault="00EE5874">
            <w:pPr>
              <w:widowControl w:val="0"/>
              <w:spacing w:after="0" w:line="0" w:lineRule="atLeast"/>
              <w:jc w:val="left"/>
            </w:pPr>
            <w:r>
              <w:rPr>
                <w:rStyle w:val="PromnnHTML"/>
                <w:rFonts w:eastAsia="Calibri" w:cs="Calibri"/>
                <w:color w:val="000000"/>
              </w:rPr>
              <w:t xml:space="preserve">§10 a násl. z. č. 359/1999 Sb., o </w:t>
            </w:r>
            <w:r>
              <w:rPr>
                <w:rStyle w:val="PromnnHTML"/>
                <w:rFonts w:eastAsia="Calibri" w:cs="Calibri"/>
                <w:color w:val="000000"/>
              </w:rPr>
              <w:t>sociální-právní ochraně dětí</w:t>
            </w:r>
          </w:p>
        </w:tc>
      </w:tr>
    </w:tbl>
    <w:p w:rsidR="008149DD" w:rsidRDefault="00EE5874">
      <w:pPr>
        <w:rPr>
          <w:sz w:val="20"/>
          <w:szCs w:val="20"/>
        </w:rPr>
      </w:pPr>
      <w:r>
        <w:rPr>
          <w:sz w:val="20"/>
          <w:szCs w:val="20"/>
        </w:rPr>
        <w:t xml:space="preserve">Tabulka převzata z výstupů projektu </w:t>
      </w:r>
      <w:r>
        <w:rPr>
          <w:i/>
          <w:iCs/>
          <w:sz w:val="20"/>
          <w:szCs w:val="20"/>
        </w:rPr>
        <w:t>Komunitní plánování sítě sociálních služeb na území ORP Chrudim</w:t>
      </w:r>
      <w:r>
        <w:rPr>
          <w:sz w:val="20"/>
          <w:szCs w:val="20"/>
        </w:rPr>
        <w:t>, realizovaného v OPZ v letech 2020 – 2022 (CZ.03.2.63/0.0/0.0./19_0106/0015256).</w:t>
      </w:r>
    </w:p>
    <w:p w:rsidR="008149DD" w:rsidRDefault="00EE5874">
      <w:pPr>
        <w:pStyle w:val="Nadpis1"/>
        <w:numPr>
          <w:ilvl w:val="0"/>
          <w:numId w:val="2"/>
        </w:numPr>
        <w:ind w:left="567" w:hanging="567"/>
      </w:pPr>
      <w:bookmarkStart w:id="19" w:name="__RefHeading___Toc5888_3491215576"/>
      <w:bookmarkEnd w:id="19"/>
      <w:r>
        <w:rPr>
          <w:rFonts w:ascii="Calibri" w:hAnsi="Calibri"/>
          <w:bCs/>
        </w:rPr>
        <w:lastRenderedPageBreak/>
        <w:t xml:space="preserve">Trendy při zajišťování kvality života osob v </w:t>
      </w:r>
      <w:r>
        <w:rPr>
          <w:rFonts w:ascii="Calibri" w:hAnsi="Calibri"/>
          <w:bCs/>
        </w:rPr>
        <w:t>nepříznivé sociální situaci</w:t>
      </w:r>
    </w:p>
    <w:p w:rsidR="008149DD" w:rsidRDefault="00EE5874">
      <w:r>
        <w:t>Při zajišťování podpory a pomoci lidem v nepříznivé sociální situaci dochází k průniku či kolizi zájmů uživatele, poskytovatele služby a jejího zadavatele. Do této triády nezřídka vstupují i další zájmy (např. širší rodiny, širš</w:t>
      </w:r>
      <w:r>
        <w:t xml:space="preserve">í komunity). </w:t>
      </w:r>
      <w:r>
        <w:rPr>
          <w:b/>
          <w:bCs/>
        </w:rPr>
        <w:t>Alfou a omegou zajištění podpory člověku v nepříznivé sociální situaci je zachování kvality jeho života v co nejvyšší míře s ohledem na jeho zaručená práva.</w:t>
      </w:r>
      <w:r>
        <w:t xml:space="preserve"> Zcela zásadní je přání a postoj zájemce o službu/jejího uživatele (a to i v případě os</w:t>
      </w:r>
      <w:r>
        <w:t>oby s omezenou svéprávností). Zadavatelé a poskytovatelé služeb a další aktéři (rodina, opatrovník, poskytovatelé zdravotních služeb, škola a další) by měli v případové práci při plánování podpory hledat přiměřenost jednotlivých zájmů dle tří základních hl</w:t>
      </w:r>
      <w:r>
        <w:t>edisek: způsobilosti daného opatření/služby zabezpečit potřeby, přiměřenosti opatření a výsledného poměru zisku a ztrát plynoucích z výběru daného opatření/služby. V podstatě jde o paralelu k právnímu principu proporcionality. Všichni, kteří pro druhého za</w:t>
      </w:r>
      <w:r>
        <w:t xml:space="preserve">jišťujeme pomoc, bychom se měli ptát: </w:t>
      </w:r>
    </w:p>
    <w:p w:rsidR="008149DD" w:rsidRDefault="00EE5874">
      <w:pPr>
        <w:rPr>
          <w:rFonts w:ascii="Calibri" w:hAnsi="Calibri"/>
        </w:rPr>
      </w:pPr>
      <w:r>
        <w:rPr>
          <w:i/>
        </w:rPr>
        <w:t xml:space="preserve">Je toto opatření/služba schopno/a zabezpečit jeho potřeby? </w:t>
      </w:r>
    </w:p>
    <w:p w:rsidR="008149DD" w:rsidRDefault="00EE5874">
      <w:pPr>
        <w:rPr>
          <w:rFonts w:ascii="Calibri" w:hAnsi="Calibri"/>
        </w:rPr>
      </w:pPr>
      <w:r>
        <w:rPr>
          <w:i/>
        </w:rPr>
        <w:t>A nejsou k dispozici jiná opatření/jejich kombinace, kterými by bylo možné zabezpečit jeho potřeby, a přitom méně omezovat jeho práva a dosavadní styl života</w:t>
      </w:r>
      <w:r>
        <w:rPr>
          <w:i/>
        </w:rPr>
        <w:t xml:space="preserve">? </w:t>
      </w:r>
    </w:p>
    <w:p w:rsidR="008149DD" w:rsidRDefault="00EE5874">
      <w:pPr>
        <w:rPr>
          <w:rFonts w:ascii="Calibri" w:hAnsi="Calibri"/>
          <w:i/>
          <w:iCs/>
        </w:rPr>
      </w:pPr>
      <w:r>
        <w:rPr>
          <w:i/>
          <w:iCs/>
        </w:rPr>
        <w:t>A nakolik vůbec předčí plánovaná pomoc svým užitkem ztráty v podobě omezení některých jeho základních práv a zájmů? Nepřinese pro něj více bolestných změn než prospěchu?</w:t>
      </w:r>
    </w:p>
    <w:p w:rsidR="008149DD" w:rsidRDefault="00EE5874">
      <w:r>
        <w:t xml:space="preserve">Tímto vhledem do rozvažování o vhodné pomoci člověku v nepříznivé sociální situaci </w:t>
      </w:r>
      <w:r>
        <w:t>chceme přispět k lepšímu porozumění současných trendů při plánování rozvoje a poskytování sociálních služeb, a vlastně všech aktivit, které přispívají k sociálnímu začleňování osob, resp. pomáhají předcházet vylučování na okraj společnosti.</w:t>
      </w:r>
    </w:p>
    <w:tbl>
      <w:tblPr>
        <w:tblW w:w="14625" w:type="dxa"/>
        <w:jc w:val="center"/>
        <w:tblLayout w:type="fixed"/>
        <w:tblLook w:val="0000" w:firstRow="0" w:lastRow="0" w:firstColumn="0" w:lastColumn="0" w:noHBand="0" w:noVBand="0"/>
      </w:tblPr>
      <w:tblGrid>
        <w:gridCol w:w="14625"/>
      </w:tblGrid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Trendy napříč p</w:t>
            </w:r>
            <w:r>
              <w:rPr>
                <w:rFonts w:cstheme="minorHAnsi"/>
                <w:b/>
                <w:bCs/>
                <w:color w:val="000000"/>
              </w:rPr>
              <w:t>rioritními skupinami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>Odklon od institucionalizované pomoci a zdůrazňování principu subsidiarity – až ve chvíli, kdy si člověk nedokáže pomoci sám, nastupuje pomoc rodiny a nejbližšího okolí, poté širší komunity včetně služeb.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 xml:space="preserve">Multidisciplinární řešení </w:t>
            </w:r>
            <w:r>
              <w:t>nepříznivé sociální situace. Pomoc je koordinovaná, všichni se domlouvají na dalších krocích společně, pracuje se v týmu, případovou práci vede koordinátor případu (tzv. case manager).</w:t>
            </w:r>
          </w:p>
        </w:tc>
      </w:tr>
      <w:tr w:rsidR="008149DD">
        <w:trPr>
          <w:trHeight w:val="339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>Respekt k názorům uživatelů a jejich aktivní účast na řešení vlastní s</w:t>
            </w:r>
            <w:r>
              <w:t>ituace.</w:t>
            </w:r>
          </w:p>
        </w:tc>
      </w:tr>
    </w:tbl>
    <w:p w:rsidR="008149DD" w:rsidRDefault="008149DD"/>
    <w:tbl>
      <w:tblPr>
        <w:tblW w:w="14625" w:type="dxa"/>
        <w:jc w:val="center"/>
        <w:tblLayout w:type="fixed"/>
        <w:tblLook w:val="0000" w:firstRow="0" w:lastRow="0" w:firstColumn="0" w:lastColumn="0" w:noHBand="0" w:noVBand="0"/>
      </w:tblPr>
      <w:tblGrid>
        <w:gridCol w:w="14625"/>
      </w:tblGrid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Rodinní pečující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t xml:space="preserve">Rodinní pečující nejsou vnímáni jen jako blízké osoby uživatelů služeb. Sami se v důsledku péče o druhého ocitají v nepříznivé sociální situaci a potřebují podporu ke snížení z péče plynoucích rizik a udržení dosavadní kvality </w:t>
            </w:r>
            <w:r>
              <w:t>života.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>Vznikají služby/kontaktní místa či centra, která pečujícím poskytují krátkodobé poradenství nebo je dlouhodobě doprovázejí a poskytují jim podporu.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Vznikají tzv. odlehčovací služby, které na krátkou nebo delší dobu „vystřídají“ v péči rodinného </w:t>
            </w:r>
            <w:r>
              <w:rPr>
                <w:rFonts w:cstheme="minorHAnsi"/>
                <w:color w:val="000000"/>
              </w:rPr>
              <w:t>pečujícího a ten si může vyřídit potřebné záležitosti/odpočinout si a načerpat energii.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Sdílená péče rodinného pečujícího s dalšími rodinnými příslušníky, terénními a ambulantními služby umožňuje pečujícímu žít ve větší či menší míře běžný život.</w:t>
            </w:r>
          </w:p>
        </w:tc>
      </w:tr>
    </w:tbl>
    <w:p w:rsidR="008149DD" w:rsidRDefault="008149DD"/>
    <w:p w:rsidR="008149DD" w:rsidRDefault="008149DD"/>
    <w:tbl>
      <w:tblPr>
        <w:tblW w:w="14625" w:type="dxa"/>
        <w:jc w:val="center"/>
        <w:tblLayout w:type="fixed"/>
        <w:tblLook w:val="0000" w:firstRow="0" w:lastRow="0" w:firstColumn="0" w:lastColumn="0" w:noHBand="0" w:noVBand="0"/>
      </w:tblPr>
      <w:tblGrid>
        <w:gridCol w:w="14625"/>
      </w:tblGrid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lastRenderedPageBreak/>
              <w:t>Senio</w:t>
            </w:r>
            <w:r>
              <w:rPr>
                <w:rFonts w:cstheme="minorHAnsi"/>
                <w:b/>
                <w:bCs/>
                <w:color w:val="000000"/>
              </w:rPr>
              <w:t>ři a osoby se zdravotním postižením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t>Na stáří není pohlíženo jako na neproduktivní věk. Podporuje se aktivní prožití zralého období života, udržování a rozvoj vztahů, předávání životních zkušeností.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t xml:space="preserve">Osoby se zdravotním postižením nejsou posuzovány podle </w:t>
            </w:r>
            <w:r>
              <w:t>zdravotního omezení, hledají se cesty k co největšímu vyrovnání příležitostí se zdravými vrstevníky.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t>U osob se zkušeností s duševním onemocněním je podporováno zotavení jako cesta návratu do běžného života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rFonts w:cstheme="minorHAnsi"/>
                <w:color w:val="000000"/>
              </w:rPr>
              <w:t>Setrvání seniorů a osob se zdravotním postižením</w:t>
            </w:r>
            <w:r>
              <w:rPr>
                <w:rFonts w:cstheme="minorHAnsi"/>
                <w:color w:val="000000"/>
              </w:rPr>
              <w:t xml:space="preserve"> v přirozeném prostředí (domácnosti) má podstatný vliv na udržení kvality jejich života. Proto bychom měli vyčerpat všechny možnosti terénní a ambulantní podpory a péče (příp. jejich kombinace) předtím než začneme uvažovat o nutnosti dlouhodobého opuštění </w:t>
            </w:r>
            <w:r>
              <w:rPr>
                <w:rFonts w:cstheme="minorHAnsi"/>
                <w:color w:val="000000"/>
              </w:rPr>
              <w:t>domova a přestěhování do pobytové služby.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Podporovány jsou sociální služby komunitního charakteru</w:t>
            </w:r>
            <w:r>
              <w:rPr>
                <w:rStyle w:val="Znakapoznpodarou"/>
                <w:rFonts w:cstheme="minorHAnsi"/>
                <w:color w:val="000000"/>
              </w:rPr>
              <w:footnoteReference w:id="1"/>
            </w:r>
            <w:r>
              <w:rPr>
                <w:rFonts w:cstheme="minorHAnsi"/>
                <w:color w:val="000000"/>
              </w:rPr>
              <w:t>, které umožňují zachování dosavadního životního stylu, využívání přirozených zdrojů v komunitě a přizpůsobují se potřebám uživatele a nikoliv naopak.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rFonts w:cstheme="minorHAnsi"/>
                <w:color w:val="000000"/>
              </w:rPr>
              <w:t>Pracuje se s předsudky široké veřejnosti vůči lidem se zdravotním postižením, zejm. s duševním onemocněním. Destigamtizace je součástí cesty ke zotavení. Nejefektivnější osvětu dělají lektoři s vlastní zkušeností s duševním onemocněním (či jiným handicapem</w:t>
            </w:r>
            <w:r>
              <w:rPr>
                <w:rFonts w:cstheme="minorHAnsi"/>
                <w:color w:val="000000"/>
              </w:rPr>
              <w:t>). Peer pracovníci se stávají součástí sociálních/zdravotních služeb a na svém příkladu pomáhají změnit postoje a chování uživatelů směrem ke  zotavení.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Podporuje se aktivního trávení volného času seniorů (tzv. aktivní stáří) a mezigenerační spolupráce a </w:t>
            </w:r>
            <w:r>
              <w:rPr>
                <w:rFonts w:cstheme="minorHAnsi"/>
                <w:color w:val="000000"/>
              </w:rPr>
              <w:t>přenos zkušeností.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Rozvíjí se podporované zaměstnávání s myšlenkou, že každý je schopen pracovat, pokud se mu zajistí správný druh práce a pracovních podmínek a je-li mu poskytnuta  správná podpora.</w:t>
            </w:r>
          </w:p>
        </w:tc>
      </w:tr>
      <w:tr w:rsidR="008149DD">
        <w:trPr>
          <w:trHeight w:val="240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Podporuje se rozvoj samostatného bydlení (př. malé </w:t>
            </w:r>
            <w:r>
              <w:rPr>
                <w:rFonts w:cstheme="minorHAnsi"/>
                <w:color w:val="000000"/>
              </w:rPr>
              <w:t>finančně dostupné bydlení, co-housing).</w:t>
            </w:r>
          </w:p>
        </w:tc>
      </w:tr>
      <w:tr w:rsidR="008149DD">
        <w:trPr>
          <w:trHeight w:val="240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Paliativní péče umožňuje udržení kvality života až do jeho konce.</w:t>
            </w:r>
          </w:p>
        </w:tc>
      </w:tr>
    </w:tbl>
    <w:p w:rsidR="008149DD" w:rsidRDefault="008149DD">
      <w:pPr>
        <w:spacing w:before="120" w:after="120"/>
        <w:ind w:left="567" w:hanging="567"/>
        <w:rPr>
          <w:rFonts w:ascii="Calibri" w:hAnsi="Calibri"/>
          <w:b/>
          <w:bCs/>
          <w:sz w:val="20"/>
          <w:szCs w:val="20"/>
        </w:rPr>
      </w:pPr>
    </w:p>
    <w:tbl>
      <w:tblPr>
        <w:tblW w:w="14625" w:type="dxa"/>
        <w:jc w:val="center"/>
        <w:tblLayout w:type="fixed"/>
        <w:tblLook w:val="0000" w:firstRow="0" w:lastRow="0" w:firstColumn="0" w:lastColumn="0" w:noHBand="0" w:noVBand="0"/>
      </w:tblPr>
      <w:tblGrid>
        <w:gridCol w:w="14625"/>
      </w:tblGrid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Děti a rodiny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t xml:space="preserve">Rodinám s dětmi je zajišťována včasná pomoc, aby se předešlo ohrožení dítěte a rozvoji jeho duševních obtíží. Tak se minimalizuje </w:t>
            </w:r>
            <w:r>
              <w:t>riziko opuštění biologické rodiny, resp. nařízení institucionální výchovy.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color w:val="000000"/>
              </w:rPr>
              <w:t>Dítě je partnerem řešení své situace i situace rodiny. Do řešení nepříznivé situace je zapojována širší rodina a blízké osoby.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Hledají se cesty pro včasné rozpoznání ohrožení </w:t>
            </w:r>
            <w:r>
              <w:rPr>
                <w:rFonts w:cstheme="minorHAnsi"/>
                <w:color w:val="000000"/>
              </w:rPr>
              <w:t>dítěte. Zatím účelem se rozvíjí mezioborová spolupráce mezi školami, sociálními službami a lékaři, školní poradenská pracoviště jsou posílena o specialisty na specifické potřeby dětí včetně duševního zdraví a pro spolupráci s rodinou, rozvíjí se nízkopraho</w:t>
            </w:r>
            <w:r>
              <w:rPr>
                <w:rFonts w:cstheme="minorHAnsi"/>
                <w:color w:val="000000"/>
              </w:rPr>
              <w:t>vé sociální služby prvního kontaktu a týmy včasné intervence a centra duševního zdraví pro děti.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>Primární prevence v oblasti duševního zdraví zvyšuje připravenost a odolnost dětí při vzniku duševních obtíží. Kromě toho rozvíjí i gramotnost velké části pop</w:t>
            </w:r>
            <w:r>
              <w:t>ulace v oblasti péče o sebe a přijímání odlišnosti ostatních. Ve svém důsledku se jedná o efektivní cestu destigmatizace.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rFonts w:cstheme="minorHAnsi"/>
                <w:color w:val="000000"/>
              </w:rPr>
              <w:t>Nařízení ústavní výchovy přichází až jako nejzazší řešení situace dítěte, ve chvíli, kdy byly vyčerpány všechny možnosti jak zajistit</w:t>
            </w:r>
            <w:r>
              <w:rPr>
                <w:rFonts w:cstheme="minorHAnsi"/>
                <w:color w:val="000000"/>
              </w:rPr>
              <w:t xml:space="preserve"> výchovu v (původním nebo náhradním) rodinném prostředí. Zejména v případě malých dětí se na něj dá v konečném důsledku nahlížet jako na selhání systému, který nebyl schopen zajistit přirozené (rodinné) podmínky pro zdravý vývoj dítěte. Je-li dítě v náhrad</w:t>
            </w:r>
            <w:r>
              <w:rPr>
                <w:rFonts w:cstheme="minorHAnsi"/>
                <w:color w:val="000000"/>
              </w:rPr>
              <w:t>ní péči a má-li se za to, že má rodina potenciál zajistit podmínky pro výchovu dítěte, je třeba rodinu intenzivně podpořit pro jeho brzký návrat.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Vytvářejí se programy na podporu osamostatňování mládeže a mladých dospělých opouštějící náhradní rodinnou/in</w:t>
            </w:r>
            <w:r>
              <w:rPr>
                <w:rFonts w:cstheme="minorHAnsi"/>
                <w:color w:val="000000"/>
              </w:rPr>
              <w:t>stitucionální výchovu</w:t>
            </w:r>
          </w:p>
        </w:tc>
      </w:tr>
    </w:tbl>
    <w:p w:rsidR="008149DD" w:rsidRDefault="008149DD"/>
    <w:tbl>
      <w:tblPr>
        <w:tblW w:w="14625" w:type="dxa"/>
        <w:jc w:val="center"/>
        <w:tblLayout w:type="fixed"/>
        <w:tblLook w:val="0000" w:firstRow="0" w:lastRow="0" w:firstColumn="0" w:lastColumn="0" w:noHBand="0" w:noVBand="0"/>
      </w:tblPr>
      <w:tblGrid>
        <w:gridCol w:w="14625"/>
      </w:tblGrid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Osoby v krizi / osoby vážně ohrožené sociálním vyloučením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 osoby v akutní krizi je klíčová dostupnost rychlé pomoci, která jim umožní sdílet trápení, odlehčí, poskytne nadhled a pomůže nalézt řešení. Proto je důležité šířit </w:t>
            </w:r>
            <w:r>
              <w:rPr>
                <w:rFonts w:cstheme="minorHAnsi"/>
                <w:color w:val="000000"/>
              </w:rPr>
              <w:t>povědomí o krizových linkách / online chatech, mít regionálně dostupnou ambulantní krizovou pomoc a pracovníky v pomáhajících profesích, kteří umí poskytnout krizovou intervenci. Včasná pomoc je prevencí závažných zdravotních i sociálních důsledků.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00FFFF"/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rFonts w:cstheme="minorHAnsi"/>
                <w:color w:val="000000"/>
              </w:rPr>
              <w:t xml:space="preserve">Lidé, </w:t>
            </w:r>
            <w:r>
              <w:rPr>
                <w:rFonts w:cstheme="minorHAnsi"/>
                <w:color w:val="000000"/>
              </w:rPr>
              <w:t>kteří se dostali v důsledku prohlubování obtíží do složité multifaktorové nepříznivé sociální situace, potřebují při opětovném začlenění do společnosti dlouhodobou komplexní koordinovanou podporu a přijetí ze strany komunity. Aktivní vyhledávání potřebných</w:t>
            </w:r>
            <w:r>
              <w:rPr>
                <w:rFonts w:cstheme="minorHAnsi"/>
                <w:color w:val="000000"/>
              </w:rPr>
              <w:t xml:space="preserve"> mezi námi a nabídka podpory mohou včas zastavit řetězení nepříznivé situace.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</w:pPr>
            <w:r>
              <w:t>Na závislost/závislostní chování je nahlíženo jako na nemoc, jednání plynoucí z traumatu, proto je třeba přestat závislé stigmatizovat a uplatňovat na ně represi, a na místo toh</w:t>
            </w:r>
            <w:r>
              <w:t>o zajistit odbornou adiktologickou a terapeutickou podporu. Narůstající oblastí adiktologie jsou digitální a herní závislosti. Pozornost je věnována těhotným a matkám uživatelkám či stárnoucím uživatelům.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Pro oběti trestné činnosti / domácího násilí se st</w:t>
            </w:r>
            <w:r>
              <w:rPr>
                <w:rFonts w:cstheme="minorHAnsi"/>
                <w:color w:val="000000"/>
              </w:rPr>
              <w:t>ále více používá označení přeživší, čímž zdůrazňuje jak závažnost situace, která nezřídka končí smrtí oběti, ale i odhodlání přeživšího s nepřízní osudu bojovat. Vznikají programy pro minimalizaci domácího a genderově podmíněného násilí prostřednictvím prá</w:t>
            </w:r>
            <w:r>
              <w:rPr>
                <w:rFonts w:cstheme="minorHAnsi"/>
                <w:color w:val="000000"/>
              </w:rPr>
              <w:t>ce s jeho původci – násilnými osobami.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Pomoc lidem ohroženým bytovou nouzí / bezdomovectvím (rodinám, osobám, které se navracejí z výkonu trestu, osobám bez domova a dalším) je třeba neodkládat. Na úspěšnosti a oblíbenosti modelů „housing first“, které </w:t>
            </w:r>
            <w:r>
              <w:rPr>
                <w:rFonts w:cstheme="minorHAnsi"/>
                <w:color w:val="000000"/>
              </w:rPr>
              <w:t>nejprve poskytnou lidem bydlení, zaměstnání a intenzivní sociální práci, je patrné, jak výrazný vliv má zajištění běžného bydlení na kvalitu života jednotlivce i všech členů rodiny.</w:t>
            </w:r>
          </w:p>
        </w:tc>
      </w:tr>
      <w:tr w:rsidR="008149DD">
        <w:trPr>
          <w:trHeight w:val="103"/>
          <w:jc w:val="center"/>
        </w:trPr>
        <w:tc>
          <w:tcPr>
            <w:tcW w:w="14625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8149DD" w:rsidRDefault="00EE5874">
            <w:pPr>
              <w:widowControl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Podporován je rozvoj vzdělanosti a zaměstnanosti mladých dospělých, kteří</w:t>
            </w:r>
            <w:r>
              <w:rPr>
                <w:rFonts w:cstheme="minorHAnsi"/>
                <w:color w:val="000000"/>
              </w:rPr>
              <w:t xml:space="preserve"> jsou ze sociálních či zdravotně-sociálních důvodů obtížně umístitelní na trh práce.</w:t>
            </w:r>
          </w:p>
        </w:tc>
      </w:tr>
    </w:tbl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/>
    <w:p w:rsidR="008149DD" w:rsidRDefault="008149DD">
      <w:pPr>
        <w:rPr>
          <w:sz w:val="20"/>
          <w:szCs w:val="20"/>
        </w:rPr>
      </w:pPr>
    </w:p>
    <w:p w:rsidR="008149DD" w:rsidRDefault="00EE5874">
      <w:pPr>
        <w:pStyle w:val="Nadpis1"/>
        <w:numPr>
          <w:ilvl w:val="0"/>
          <w:numId w:val="2"/>
        </w:numPr>
        <w:ind w:left="567" w:hanging="567"/>
      </w:pPr>
      <w:bookmarkStart w:id="20" w:name="__RefHeading___Toc5886_3491215576"/>
      <w:bookmarkEnd w:id="20"/>
      <w:r>
        <w:rPr>
          <w:rFonts w:ascii="Calibri" w:hAnsi="Calibri"/>
          <w:bCs/>
        </w:rPr>
        <w:lastRenderedPageBreak/>
        <w:t>Poskytovatelé sociálních služeb a souvisejících aktivit působící v ORP Hlinsko a spádoví poskytovatelé</w:t>
      </w:r>
      <w:r>
        <w:rPr>
          <w:rStyle w:val="Znakapoznpodarou"/>
          <w:rFonts w:ascii="Calibri" w:hAnsi="Calibri"/>
          <w:bCs/>
        </w:rPr>
        <w:footnoteReference w:id="2"/>
      </w:r>
    </w:p>
    <w:p w:rsidR="008149DD" w:rsidRDefault="00EE5874">
      <w:r>
        <w:t>Pro obyvatele správního obvodu zabezpečuje sociální poradenství, prevenci a péči min. 40 sociálních služeb a 20 souvisejících aktivit (veřejných služeb) sociálního charakteru. Informace a aktuální kontakty k nejvyužívanějším sociálním službám a související</w:t>
      </w:r>
      <w:r>
        <w:t xml:space="preserve">m aktivitám v regionu naleznete online katalogu:  </w:t>
      </w:r>
      <w:hyperlink r:id="rId11">
        <w:r>
          <w:rPr>
            <w:rStyle w:val="Hypertextovodkaz1"/>
            <w:color w:val="C9211E"/>
          </w:rPr>
          <w:t>www.mashlinecko.cz/_katalog-socialni-sluzby/about</w:t>
        </w:r>
      </w:hyperlink>
      <w:r>
        <w:rPr>
          <w:color w:val="C9211E"/>
        </w:rPr>
        <w:t>.</w:t>
      </w:r>
    </w:p>
    <w:tbl>
      <w:tblPr>
        <w:tblW w:w="1467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6"/>
        <w:gridCol w:w="3311"/>
        <w:gridCol w:w="3284"/>
        <w:gridCol w:w="1410"/>
        <w:gridCol w:w="1018"/>
        <w:gridCol w:w="2661"/>
      </w:tblGrid>
      <w:tr w:rsidR="008149DD">
        <w:trPr>
          <w:trHeight w:val="405"/>
          <w:jc w:val="right"/>
        </w:trPr>
        <w:tc>
          <w:tcPr>
            <w:tcW w:w="1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Rodinní pečující</w:t>
            </w:r>
          </w:p>
        </w:tc>
      </w:tr>
      <w:tr w:rsidR="008149DD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Zřizovatel/Poskytovatel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Upřesnění cílové skupiny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Sociální služba/aktivita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Forma služby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20"/>
                <w:szCs w:val="20"/>
              </w:rPr>
              <w:t>Upřesnění služby dle legislativy</w:t>
            </w:r>
          </w:p>
        </w:tc>
      </w:tr>
      <w:tr w:rsidR="008149DD">
        <w:trPr>
          <w:trHeight w:val="528"/>
          <w:jc w:val="right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Rodinné Integrační Centrum z.s.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Rodiny s dětmi do 7 let s poruchami komunikace a interakce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§54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 o sociálních službách</w:t>
            </w:r>
          </w:p>
        </w:tc>
      </w:tr>
      <w:tr w:rsidR="008149DD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Středisko rané péče v Pardubicích o.p.s.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Rodiny s dětmi do 7 let s ohroženým/nerovnoměrným vývojem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§54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Úřad práce ČR, kontaktní pracoviště Hlinsko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Příspěvek na péči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 xml:space="preserve">Osoby pobírající </w:t>
            </w:r>
            <w:r>
              <w:rPr>
                <w:color w:val="000000"/>
                <w:sz w:val="18"/>
                <w:szCs w:val="18"/>
              </w:rPr>
              <w:t>příspěvek na péči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sz w:val="18"/>
                <w:szCs w:val="18"/>
              </w:rPr>
              <w:t xml:space="preserve">§7-30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Město Hlinsko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odbor sociálních věcí, školství a zdravotnictví, MÚ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všechny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sz w:val="18"/>
                <w:szCs w:val="18"/>
              </w:rPr>
              <w:t xml:space="preserve">§92, §93a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 xml:space="preserve">z. č. 108/2006 Sb. v návaznosti na §63-65  z. č.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111/2006 Sb. o hmotné nouzi</w:t>
            </w:r>
          </w:p>
        </w:tc>
      </w:tr>
      <w:tr w:rsidR="008149DD">
        <w:trPr>
          <w:jc w:val="right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Svaz tělesně postižených v České republice, z.s., místní organizace Hlinsko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Svaz tělesně postižených v České republice, z.s., místní organizace Hlinsko - děti</w:t>
            </w:r>
          </w:p>
        </w:tc>
        <w:tc>
          <w:tcPr>
            <w:tcW w:w="3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Děti se zdravotním postižením a rodinní pečující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související aktivit</w:t>
            </w: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240" w:lineRule="auto"/>
              <w:jc w:val="left"/>
            </w:pPr>
            <w:r>
              <w:rPr>
                <w:i/>
                <w:iCs/>
                <w:sz w:val="18"/>
                <w:szCs w:val="18"/>
              </w:rPr>
              <w:t>§214 a násl. z. č. 89/2012 Sb. občanský zákoník; §26 – 30 z. č. 304/2013 o veřejných rejstřících právnických a fyzických osob</w:t>
            </w:r>
          </w:p>
        </w:tc>
      </w:tr>
    </w:tbl>
    <w:p w:rsidR="008149DD" w:rsidRDefault="008149DD">
      <w:pPr>
        <w:spacing w:before="120" w:after="120"/>
        <w:ind w:left="567" w:hanging="567"/>
        <w:outlineLvl w:val="0"/>
        <w:rPr>
          <w:rFonts w:ascii="Calibri" w:hAnsi="Calibri"/>
          <w:b/>
          <w:bCs/>
          <w:sz w:val="32"/>
          <w:szCs w:val="32"/>
        </w:rPr>
      </w:pPr>
    </w:p>
    <w:tbl>
      <w:tblPr>
        <w:tblW w:w="14625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6"/>
        <w:gridCol w:w="3282"/>
        <w:gridCol w:w="3283"/>
        <w:gridCol w:w="1422"/>
        <w:gridCol w:w="1022"/>
        <w:gridCol w:w="2660"/>
      </w:tblGrid>
      <w:tr w:rsidR="008149DD">
        <w:trPr>
          <w:trHeight w:val="405"/>
          <w:jc w:val="right"/>
        </w:trPr>
        <w:tc>
          <w:tcPr>
            <w:tcW w:w="14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b/>
                <w:bCs/>
                <w:color w:val="000000"/>
                <w:sz w:val="24"/>
                <w:szCs w:val="24"/>
              </w:rPr>
              <w:t>Senioři a osoby se zdravotním postižením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>Zřizovatel/Poskytovatel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>Upřesnění cílové skupiny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 xml:space="preserve">Sociální </w:t>
            </w:r>
            <w:r>
              <w:rPr>
                <w:color w:val="000000"/>
                <w:sz w:val="20"/>
                <w:szCs w:val="20"/>
              </w:rPr>
              <w:t>služba/aktivita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>Forma služby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20"/>
                <w:szCs w:val="20"/>
              </w:rPr>
              <w:t>Upřesnění služby dle legislativy</w:t>
            </w:r>
          </w:p>
        </w:tc>
      </w:tr>
      <w:tr w:rsidR="008149DD">
        <w:trPr>
          <w:trHeight w:val="344"/>
          <w:jc w:val="right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Domov seniorů Drachtinka, město Hlinsko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Domov seniorů Drachtinka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Senioři se sníženou soběstačností z důvodu věku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pobytová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domov pro seniory, §49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4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 xml:space="preserve">Domov </w:t>
            </w:r>
            <w:r>
              <w:rPr>
                <w:color w:val="000000"/>
                <w:sz w:val="18"/>
                <w:szCs w:val="18"/>
              </w:rPr>
              <w:t>seniorů Drachtinka, město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Domov se zvláštním režimem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Senioři se sníženou soběstačností z důvodu demence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pobytová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§50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1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lastRenderedPageBreak/>
              <w:t>Domov seniorů Drachtinka, město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Centrum denních služeb Motýl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tabs>
                <w:tab w:val="left" w:pos="390"/>
                <w:tab w:val="left" w:pos="450"/>
              </w:tabs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 xml:space="preserve">Osoby s </w:t>
            </w:r>
            <w:r>
              <w:rPr>
                <w:color w:val="000000"/>
                <w:sz w:val="18"/>
                <w:szCs w:val="18"/>
              </w:rPr>
              <w:t>mentálním/kombinovaným postižením a senioři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0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§45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4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Oblastní 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Senioři a dospělí se zdravotním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4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Oblastní </w:t>
            </w:r>
            <w:r>
              <w:rPr>
                <w:color w:val="000000"/>
                <w:sz w:val="18"/>
                <w:szCs w:val="18"/>
              </w:rPr>
              <w:t>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Senioři a osoby se ZP od 3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§39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Oblastní 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Sociálně terapeutické dílny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ve věku 16-64 let a osoby 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§67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Oblastní 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Půjčovna kompenzačních pomůcek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trHeight w:val="28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Oblastní 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Ošetřovatelská služba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§10 z. č. 372/2011 Sb. o zdravotních službách</w:t>
            </w:r>
          </w:p>
        </w:tc>
      </w:tr>
      <w:tr w:rsidR="008149DD">
        <w:trPr>
          <w:trHeight w:val="28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Oblastní charita Nové Hrady u Skutče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Domácí hospicová péče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§10 z. č. 372/2011 Sb. o zdravotních službách</w:t>
            </w:r>
          </w:p>
        </w:tc>
      </w:tr>
      <w:tr w:rsidR="008149DD">
        <w:trPr>
          <w:trHeight w:val="50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Včelka sociální služby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Pečovatelská služba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Senioři, osoby se ZP a rodiny s dětmi potřebující pomoc jiné osoby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1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asistence a aktivizační služby Včelka s.r.o.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asistence a aktivizační služby Včelka s.r.o.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ind w:left="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Senioři a osoby </w:t>
            </w:r>
            <w:r>
              <w:rPr>
                <w:color w:val="000000"/>
                <w:sz w:val="18"/>
                <w:szCs w:val="18"/>
              </w:rPr>
              <w:t>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§39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99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asistence a aktivizační služby Včelka s.r.o.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Sociálně aktivizační služba pro seniory a osoby se zdravotním postižením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ind w:left="57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se ZP od 7 let a senioři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§66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421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Obec Svratouch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Dům klidného stáří (pečovatelská služba)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Senioři a osoby se ZP od 50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40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Obec Kameničky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Pečovatelská služba obce Kameničky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Senioři a osoby se ZP od 18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§40 </w:t>
            </w:r>
            <w:r>
              <w:rPr>
                <w:rStyle w:val="PromnnHTML"/>
                <w:rFonts w:cs="Calibri"/>
                <w:sz w:val="18"/>
                <w:szCs w:val="18"/>
              </w:rPr>
              <w:t xml:space="preserve">z. č. </w:t>
            </w:r>
            <w:r>
              <w:rPr>
                <w:rStyle w:val="PromnnHTML"/>
                <w:rFonts w:cs="Calibri"/>
                <w:sz w:val="18"/>
                <w:szCs w:val="18"/>
              </w:rPr>
              <w:t>108/2006 Sb.</w:t>
            </w:r>
          </w:p>
        </w:tc>
      </w:tr>
      <w:tr w:rsidR="008149DD">
        <w:trPr>
          <w:trHeight w:val="33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Obec Vysočina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Pečovatelská služba obce Vysočina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Senioři a osoby se ZP od 40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9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TyfloCentrum Pardubice,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Odborné sociální poradenství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§37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5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TyfloCentrum Pardubice,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Průvodcovské a předčitatelské služby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§42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4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TyfloCentrum Pardubice,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Sociálně aktivizační </w:t>
            </w:r>
            <w:r>
              <w:rPr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§66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TyfloCentrum Pardubice,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0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Tyfloservis, </w:t>
            </w:r>
            <w:r>
              <w:rPr>
                <w:color w:val="000000"/>
                <w:sz w:val="18"/>
                <w:szCs w:val="18"/>
              </w:rPr>
              <w:t>o.p.s. - krajské ambulantní středisko Pardubice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1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Tyfloservis, o.p.s. - krajské ambulantní středisko Pardubice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Zdravotně-edukační služba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Osoby se </w:t>
            </w:r>
            <w:r>
              <w:rPr>
                <w:sz w:val="18"/>
                <w:szCs w:val="18"/>
              </w:rPr>
              <w:t>zrakovým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trHeight w:val="355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Rytmus Východní Čechy,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zdravotním postižením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FOKUS </w:t>
            </w:r>
            <w:r>
              <w:rPr>
                <w:color w:val="000000"/>
                <w:sz w:val="18"/>
                <w:szCs w:val="18"/>
              </w:rPr>
              <w:t>Vysočina, z.ú.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Komunitní tým – sociální rehabilitace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 chronickým duševním onemocněním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0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ERGOTEP, d.i. (Proseč)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rehabilitace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se ZP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sociálně vyloučené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Sociální </w:t>
            </w:r>
            <w:r>
              <w:rPr>
                <w:color w:val="000000"/>
                <w:sz w:val="18"/>
                <w:szCs w:val="18"/>
              </w:rPr>
              <w:t>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1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Rodinné Integrační Centrum z.s.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Rodiny s dětmi do 7 let s poruchami komunikace a interakce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§54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2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Rodinné Integrační Centrum z.s.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Sociální </w:t>
            </w:r>
            <w:r>
              <w:rPr>
                <w:color w:val="000000"/>
                <w:sz w:val="18"/>
                <w:szCs w:val="18"/>
              </w:rPr>
              <w:t>rehabilitace pro osoby s poruchami autistického spektra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 PAS od 16 do 64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9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Rodinné Integrační Centrum z.s.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Osobní asistence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 PAS od 1 do 64 let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§39 </w:t>
            </w:r>
            <w:r>
              <w:rPr>
                <w:rStyle w:val="PromnnHTML"/>
                <w:rFonts w:cs="Calibri"/>
                <w:sz w:val="18"/>
                <w:szCs w:val="18"/>
              </w:rPr>
              <w:t xml:space="preserve">z. č. </w:t>
            </w:r>
            <w:r>
              <w:rPr>
                <w:rStyle w:val="PromnnHTML"/>
                <w:rFonts w:cs="Calibri"/>
                <w:sz w:val="18"/>
                <w:szCs w:val="18"/>
              </w:rPr>
              <w:t>108/2006 Sb.</w:t>
            </w:r>
          </w:p>
        </w:tc>
      </w:tr>
      <w:tr w:rsidR="008149DD">
        <w:trPr>
          <w:trHeight w:val="470"/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Středisko rané péče v Pardubicích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Rodiny s dětmi do 7 let s ohroženým/nerovnoměrným vývojem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§54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Středisko rané péče v Pardubicích o.p.s.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Volnočasové aktivity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Rodiny s </w:t>
            </w:r>
            <w:r>
              <w:rPr>
                <w:color w:val="000000"/>
                <w:sz w:val="18"/>
                <w:szCs w:val="18"/>
              </w:rPr>
              <w:t>dětmi se ZP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 ČR, kontaktní pracoviště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Dávky pro osoby se zdravotním postižením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Státní sociální podpora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Hmotná nouze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§1 - 39 z. </w:t>
            </w:r>
            <w:r>
              <w:rPr>
                <w:i/>
                <w:iCs/>
                <w:sz w:val="18"/>
                <w:szCs w:val="18"/>
              </w:rPr>
              <w:t>č. 329/2011 Sb. o poskytování dávek osobám se zdravotním postižením; z. č. 117/1995 Sb. o státní sociální podpoře;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z. č. 111/2006 Sb., o pomoci v hmotné nouzi;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odbor sociálních věcí, školství a zdravotnictví, MÚ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§92, §93a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 v návaznosti na §63-65  z. č. 111/2006 Sb.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 seniorů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Klub seniorů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senioři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§214 a násl. z. č. 89/2012 Sb. občanský zákoník; §26 – 30 z. č. 304/2013 Sb.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Svaz tělesně </w:t>
            </w:r>
            <w:r>
              <w:rPr>
                <w:color w:val="000000"/>
                <w:sz w:val="18"/>
                <w:szCs w:val="18"/>
              </w:rPr>
              <w:t>postižených v České republice, z.s., místní organizace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tělesně postižených v České republice, z.s., místní organizace Hlinsko - děti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Osoby se zdravotním postižením i bez zdravotního postižení, rodinní příslušníci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§214 a násl. z. č. 89/2012 Sb. Občanský zákoník; §26 – 30 z. č. 304/2013 Sb.</w:t>
            </w:r>
          </w:p>
        </w:tc>
      </w:tr>
      <w:tr w:rsidR="008149DD">
        <w:trPr>
          <w:jc w:val="right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tělesně postižených v České republice, z.s., místní organizace Hlinsko</w:t>
            </w:r>
          </w:p>
        </w:tc>
        <w:tc>
          <w:tcPr>
            <w:tcW w:w="3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Svaz tělesně postižených v České republice, z.s., místní organizace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color w:val="000000"/>
                <w:sz w:val="18"/>
                <w:szCs w:val="18"/>
              </w:rPr>
              <w:t>Děti se zdravot</w:t>
            </w:r>
            <w:r>
              <w:rPr>
                <w:color w:val="000000"/>
                <w:sz w:val="18"/>
                <w:szCs w:val="18"/>
              </w:rPr>
              <w:t>ním postižením a rodinní pečující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§214 a násl. z. č. 89/2012 Sb. Občanský zákoník; §26 – 30 z. č. 304/2013 Sb.</w:t>
            </w:r>
          </w:p>
        </w:tc>
      </w:tr>
    </w:tbl>
    <w:p w:rsidR="008149DD" w:rsidRDefault="008149DD">
      <w:pPr>
        <w:spacing w:before="120" w:after="120"/>
        <w:ind w:left="567" w:hanging="567"/>
        <w:outlineLvl w:val="0"/>
        <w:rPr>
          <w:rFonts w:ascii="Calibri" w:hAnsi="Calibri"/>
          <w:b/>
          <w:bCs/>
          <w:sz w:val="32"/>
          <w:szCs w:val="32"/>
        </w:rPr>
      </w:pPr>
    </w:p>
    <w:tbl>
      <w:tblPr>
        <w:tblW w:w="1467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2"/>
        <w:gridCol w:w="3283"/>
        <w:gridCol w:w="3298"/>
        <w:gridCol w:w="1417"/>
        <w:gridCol w:w="1011"/>
        <w:gridCol w:w="2659"/>
      </w:tblGrid>
      <w:tr w:rsidR="008149DD">
        <w:trPr>
          <w:trHeight w:val="405"/>
          <w:jc w:val="right"/>
        </w:trPr>
        <w:tc>
          <w:tcPr>
            <w:tcW w:w="1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Děti a rodiny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Zřizovatel/Poskytovatel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Upřesnění cílové skupiny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služba/aktivita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Forma </w:t>
            </w:r>
            <w:r>
              <w:rPr>
                <w:color w:val="000000"/>
                <w:sz w:val="20"/>
                <w:szCs w:val="20"/>
              </w:rPr>
              <w:t>služby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Upřesnění služby dle legislativy</w:t>
            </w:r>
          </w:p>
        </w:tc>
      </w:tr>
      <w:tr w:rsidR="008149DD">
        <w:trPr>
          <w:trHeight w:val="528"/>
          <w:jc w:val="righ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Amalthea z.s.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pro rodinu a dítě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terénní, ambulantní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sociálně aktivizační služby pro rodiny s dětmi,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§65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Amalthea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náhradní rodinné péče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</w:t>
            </w:r>
            <w:r>
              <w:rPr>
                <w:sz w:val="18"/>
                <w:szCs w:val="18"/>
              </w:rPr>
              <w:t xml:space="preserve"> dětmi (pěstounské, adoptivní)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terénní, 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Osoba pověřená sociálně-právní ochranou dětí, dle §47a a §47b z. č. 359/1999 Sb. o sociálně-právní ochraně dětí</w:t>
            </w:r>
          </w:p>
        </w:tc>
      </w:tr>
      <w:tr w:rsidR="008149DD">
        <w:trPr>
          <w:trHeight w:val="510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Amalthea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Podpora rodin s dětmi v období rozvodu či rozchodu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</w:t>
            </w:r>
            <w:r>
              <w:rPr>
                <w:sz w:val="18"/>
                <w:szCs w:val="18"/>
              </w:rPr>
              <w:t xml:space="preserve"> s dětmi (poradenství, mediace, dětská skupina)</w:t>
            </w:r>
          </w:p>
          <w:p w:rsidR="008149DD" w:rsidRDefault="008149DD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 (online)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Amalthea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 centrum – rodinné konference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Aktivita není zakotvena v </w:t>
            </w:r>
            <w:r>
              <w:rPr>
                <w:i/>
                <w:iCs/>
                <w:color w:val="000000"/>
                <w:sz w:val="18"/>
                <w:szCs w:val="18"/>
              </w:rPr>
              <w:t>legislativě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Oblastní charita Nové Hrady u Skutče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terénní, 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§65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0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Rodinné Integrační Centrum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Rodiny s dětmi s PAS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§65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Poradna pro rodinu Pardubického kraje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Rodinná poradna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Rodiny, páry, jednotlivci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odborné sociální poradenství, </w:t>
            </w:r>
            <w:r>
              <w:rPr>
                <w:i/>
                <w:iCs/>
                <w:sz w:val="18"/>
                <w:szCs w:val="18"/>
              </w:rPr>
              <w:t xml:space="preserve">§37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Fond </w:t>
            </w:r>
            <w:r>
              <w:rPr>
                <w:sz w:val="18"/>
                <w:szCs w:val="18"/>
              </w:rPr>
              <w:t>ohrožených dětí, Klokánek Pardubice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Zařízení pro děti vyžadující okamžitou pomoc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Ohrožené děti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pobytová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§42 z. č. 359/1999 Sb. o sociálně-právní ochraně dětí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Dětské centrum Veská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Zařízení pro děti vyžadující okamžitou pomoc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Ohrožené d</w:t>
            </w:r>
            <w:r>
              <w:rPr>
                <w:sz w:val="18"/>
                <w:szCs w:val="18"/>
              </w:rPr>
              <w:t>ěti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pobytová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§42 z. č. 359/1999 Sb. o sociálně-právní ochraně dětí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Obecně prospěšná společnost DLAŇ ŽIVOTU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Azylový dům pro těhotné matky v tísni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Těhotné a matky s malými dětmi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pobytová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§57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</w:t>
            </w:r>
            <w:r>
              <w:rPr>
                <w:sz w:val="18"/>
                <w:szCs w:val="18"/>
              </w:rPr>
              <w:t>J. J. Pestalozziho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Azylový dům Chrudim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dětmi, mladí dospělí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pobytová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§57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J. J. Pestalozziho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Práce s rodinami v agendě OSPOD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dětmi, v péči OSPOD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Aktivita není </w:t>
            </w:r>
            <w:r>
              <w:rPr>
                <w:i/>
                <w:iCs/>
                <w:color w:val="000000"/>
                <w:sz w:val="18"/>
                <w:szCs w:val="18"/>
              </w:rPr>
              <w:t>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J. J. Pestalozziho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Poradenské centrum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děti se zkušenostní náhradní péče, děti ohrožené náhradní péčí od 6 do 26 let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§70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MÉDEA –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Středisko volného času Pohoda </w:t>
            </w:r>
            <w:r>
              <w:rPr>
                <w:sz w:val="18"/>
                <w:szCs w:val="18"/>
              </w:rPr>
              <w:t>a Pohoda COOL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mládež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§111, z. č. 561/2004 Sb. školský zákon, §4 vyhlášky č. 72/2005 Sb. </w:t>
            </w:r>
            <w:r>
              <w:rPr>
                <w:i/>
                <w:iCs/>
                <w:sz w:val="18"/>
                <w:szCs w:val="18"/>
              </w:rPr>
              <w:lastRenderedPageBreak/>
              <w:t>o zájmovém vzdělávání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Úřad práce ČR, kontaktní pracoviště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Státní sociální podpora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Hmotná nouze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Dávky pěstounské péče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Zaopatřovací příspěvek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z. č. 117/1995 Sb. o státní sociální podpoře;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z. č. 111/2006 Sb., o pomoci v hmotné nouzi; §47e a §50b z. č. 359/1999 Sb. o sociálně-právní ochraně dětí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odbor sociálních věcí, šk</w:t>
            </w:r>
            <w:r>
              <w:rPr>
                <w:color w:val="000000"/>
                <w:sz w:val="18"/>
                <w:szCs w:val="18"/>
              </w:rPr>
              <w:t>olství a zdravotnictví, MÚ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 včetně doprovázení pěstounů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sz w:val="18"/>
                <w:szCs w:val="18"/>
              </w:rPr>
              <w:t xml:space="preserve">§92, §93a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 v návaznosti na §63-65  z. č. 111/2006 Sb., §47a a §47b z. č. 359/1999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Orgán sociálně právní ochrany </w:t>
            </w:r>
            <w:r>
              <w:rPr>
                <w:color w:val="000000"/>
                <w:sz w:val="18"/>
                <w:szCs w:val="18"/>
              </w:rPr>
              <w:t>dětí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color w:val="000000"/>
                <w:sz w:val="18"/>
                <w:szCs w:val="18"/>
              </w:rPr>
              <w:t>Ohrožené děti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359/1999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MaCeK Krouna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Mateřské centrum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Rodiny s dětmi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Mateřské centrum Hlinečánek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Mateřské centrum Hlinečánek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Rodiče s dětmi, prarodiče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Jana XXIII.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Jana XXIII.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děti, mládež, rodiny a seniory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Mládež pro </w:t>
            </w:r>
            <w:r>
              <w:rPr>
                <w:sz w:val="18"/>
                <w:szCs w:val="18"/>
              </w:rPr>
              <w:t>Krista, z.s.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Volnočasové centrum Maják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 děti a mládež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Dětský domov se školou, středisko výchovné péče a základní škola, Chrudim, Čáslavská 624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Archa Středisko výchovné péče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od 3 do 26 let, rodiče a pedagogická veřejnost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po indikaci terénní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§16 z. č. 109/2002 Sb. o výkonu ústavní výchovy nebo ochranné výchovy ve školských zařízeních a o preventivně výchovné péči ve školských zařízeních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Dům dětí a mládeže Hlinsko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Dům dětí a mládeže</w:t>
            </w:r>
          </w:p>
        </w:tc>
        <w:tc>
          <w:tcPr>
            <w:tcW w:w="32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Děti a mládež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Související aktivita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§111, z. č. 561/2004 Sb. a §4 vyhlášky č. 72/2005 Sb.</w:t>
            </w:r>
          </w:p>
        </w:tc>
      </w:tr>
    </w:tbl>
    <w:p w:rsidR="008149DD" w:rsidRDefault="008149DD">
      <w:pPr>
        <w:spacing w:before="120" w:after="120"/>
        <w:ind w:left="567" w:hanging="567"/>
        <w:outlineLvl w:val="0"/>
        <w:rPr>
          <w:rFonts w:ascii="Calibri" w:hAnsi="Calibri"/>
          <w:b/>
          <w:bCs/>
          <w:sz w:val="32"/>
          <w:szCs w:val="32"/>
        </w:rPr>
      </w:pPr>
    </w:p>
    <w:tbl>
      <w:tblPr>
        <w:tblW w:w="1467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2"/>
        <w:gridCol w:w="3286"/>
        <w:gridCol w:w="3296"/>
        <w:gridCol w:w="1419"/>
        <w:gridCol w:w="1006"/>
        <w:gridCol w:w="2661"/>
      </w:tblGrid>
      <w:tr w:rsidR="008149DD">
        <w:trPr>
          <w:trHeight w:val="405"/>
          <w:jc w:val="right"/>
        </w:trPr>
        <w:tc>
          <w:tcPr>
            <w:tcW w:w="14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Osoby v krizi / osoby vážně ohrožené sociálním vyloučením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Zřizovatel/Poskytovatel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Název služby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Upřesnění </w:t>
            </w:r>
            <w:r>
              <w:rPr>
                <w:color w:val="000000"/>
                <w:sz w:val="20"/>
                <w:szCs w:val="20"/>
              </w:rPr>
              <w:t>cílové skupiny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Sociální služba/aktivita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Forma služby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:rsidR="008149DD" w:rsidRDefault="00EE5874">
            <w:pPr>
              <w:pStyle w:val="Obsahtabulky"/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Upřesnění služby dle legislativy</w:t>
            </w:r>
          </w:p>
        </w:tc>
      </w:tr>
      <w:tr w:rsidR="008149DD">
        <w:trPr>
          <w:trHeight w:val="528"/>
          <w:jc w:val="right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Most pro, o.p.s.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Občanská poradna a poradna pro cizince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odborné sociální poradenství, </w:t>
            </w:r>
            <w:r>
              <w:rPr>
                <w:i/>
                <w:iCs/>
                <w:sz w:val="18"/>
                <w:szCs w:val="18"/>
              </w:rPr>
              <w:t xml:space="preserve">§37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28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Centrum J. J. </w:t>
            </w:r>
            <w:r>
              <w:rPr>
                <w:sz w:val="18"/>
                <w:szCs w:val="18"/>
              </w:rPr>
              <w:t>Pestalozziho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Azylový dům Chrudim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ohrožené domácím násilím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pobytová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§57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Centrum J. J. Pestalozziho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Krizové centrum Chrudim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Osoby v krizi, oběti domácího násilí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§60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510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J. J. Pestalozziho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Odborné sociální poradenství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(dluhové poradenství, vztahové problémy aj.)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§37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SKP-CENTRUM, o.p.s.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Intervenční centrum pro osoby ohrožené domácím násilím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Oběti domácího násilí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ambulantní, terénní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§60a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54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Laxus z.ú.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terénních programů Pardubického kraje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Uživatelé drog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terénní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i/>
                <w:iCs/>
                <w:sz w:val="18"/>
                <w:szCs w:val="18"/>
              </w:rPr>
              <w:t xml:space="preserve">§69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trHeight w:val="330"/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Laxus z.ú.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Adiktologické centrum poradenství a terapie Pardubice / Svitavy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Uživatelé drog, alkoholu, patologičtí hráči a ti, kteří abstinují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Odborné sociální poradenství a služby následné péče, §37 a §64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ROMODROM o.p.s.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 programy / Odborné sociální poradenství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Osoby ohrožené </w:t>
            </w:r>
            <w:r>
              <w:rPr>
                <w:color w:val="000000"/>
                <w:sz w:val="18"/>
                <w:szCs w:val="18"/>
              </w:rPr>
              <w:t>sociálním vyloučením, osoby propuštěné z výkonu trestu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Sociální služba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terénní, 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§69 a §37 </w:t>
            </w:r>
            <w:r>
              <w:rPr>
                <w:rStyle w:val="PromnnHTML"/>
                <w:rFonts w:cs="Calibri"/>
                <w:sz w:val="18"/>
                <w:szCs w:val="18"/>
              </w:rPr>
              <w:t>z. č. 108/2006 Sb.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Potravinová banka Pardubice z.s.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Potravinová pomoc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sz w:val="18"/>
                <w:szCs w:val="18"/>
              </w:rPr>
              <w:t>Všechny (potraviny odebírají MÚ Hlinsko, Komunitní centrum Raná)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Související </w:t>
            </w:r>
            <w:r>
              <w:rPr>
                <w:sz w:val="18"/>
                <w:szCs w:val="18"/>
              </w:rPr>
              <w:t>aktivita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Aktivita není zakotvena v legislativě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Úřad práce ČR, kontaktní pracoviště Hlinsko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Státní sociální podpora</w:t>
            </w:r>
          </w:p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Hmotná nouze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z. č. 117/1995 Sb. o státní sociální podpoře;</w:t>
            </w:r>
            <w:r>
              <w:rPr>
                <w:rFonts w:cs="Calibri"/>
                <w:i/>
                <w:iCs/>
                <w:sz w:val="18"/>
                <w:szCs w:val="18"/>
              </w:rPr>
              <w:t xml:space="preserve"> z. č. 111/2006 Sb., o pomoci v hmotné nouzi</w:t>
            </w:r>
          </w:p>
        </w:tc>
      </w:tr>
      <w:tr w:rsidR="008149DD">
        <w:trPr>
          <w:jc w:val="right"/>
        </w:trPr>
        <w:tc>
          <w:tcPr>
            <w:tcW w:w="3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Město Hlinsko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odbor sociálních věcí, školství a zdravotnictví, MÚ</w:t>
            </w: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Všechny včetně osob ve výkonu trestu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související aktivita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ambulantní, terénní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9DD" w:rsidRDefault="00EE5874">
            <w:pPr>
              <w:pStyle w:val="Obsahtabulky"/>
              <w:spacing w:after="0" w:line="11" w:lineRule="atLeast"/>
              <w:jc w:val="left"/>
            </w:pPr>
            <w:r>
              <w:rPr>
                <w:sz w:val="18"/>
                <w:szCs w:val="18"/>
              </w:rPr>
              <w:t xml:space="preserve">§92, §93a 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z. č. 108/2006 Sb. v návaznosti na §63-65  z. č. 111/200</w:t>
            </w:r>
            <w:r>
              <w:rPr>
                <w:rStyle w:val="PromnnHTML"/>
                <w:rFonts w:cs="Calibri"/>
                <w:color w:val="000000"/>
                <w:sz w:val="18"/>
                <w:szCs w:val="18"/>
              </w:rPr>
              <w:t>6 Sb.</w:t>
            </w:r>
          </w:p>
        </w:tc>
      </w:tr>
    </w:tbl>
    <w:p w:rsidR="008149DD" w:rsidRDefault="008149DD">
      <w:pPr>
        <w:pStyle w:val="Nadpis1"/>
        <w:numPr>
          <w:ilvl w:val="0"/>
          <w:numId w:val="0"/>
        </w:num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8149DD">
      <w:pPr>
        <w:ind w:left="567"/>
        <w:rPr>
          <w:rFonts w:ascii="Calibri" w:hAnsi="Calibri"/>
          <w:bCs/>
        </w:rPr>
      </w:pPr>
    </w:p>
    <w:p w:rsidR="008149DD" w:rsidRDefault="00EE5874">
      <w:pPr>
        <w:pStyle w:val="Nadpis1"/>
        <w:numPr>
          <w:ilvl w:val="0"/>
          <w:numId w:val="2"/>
        </w:numPr>
        <w:ind w:left="567" w:hanging="567"/>
      </w:pPr>
      <w:bookmarkStart w:id="21" w:name="__RefHeading___Toc5890_3491215576"/>
      <w:bookmarkEnd w:id="21"/>
      <w:r>
        <w:rPr>
          <w:rFonts w:ascii="Calibri" w:hAnsi="Calibri"/>
          <w:bCs/>
        </w:rPr>
        <w:lastRenderedPageBreak/>
        <w:t>Analytická část: a</w:t>
      </w:r>
      <w:bookmarkStart w:id="22" w:name="_Toc19863398"/>
      <w:bookmarkStart w:id="23" w:name="_Toc532987261"/>
      <w:r>
        <w:rPr>
          <w:rFonts w:ascii="Calibri" w:hAnsi="Calibri"/>
          <w:bCs/>
        </w:rPr>
        <w:t>nalýza</w:t>
      </w:r>
      <w:bookmarkEnd w:id="22"/>
      <w:bookmarkEnd w:id="23"/>
      <w:r>
        <w:rPr>
          <w:rFonts w:ascii="Calibri" w:hAnsi="Calibri"/>
          <w:bCs/>
        </w:rPr>
        <w:t xml:space="preserve"> komunitního plánování sociálních služeb a souvisejících aktivit v ORP Hlinsko</w:t>
      </w:r>
    </w:p>
    <w:p w:rsidR="008149DD" w:rsidRDefault="00EE5874">
      <w:pPr>
        <w:tabs>
          <w:tab w:val="left" w:pos="0"/>
        </w:tabs>
      </w:pPr>
      <w:r>
        <w:t>Při tvorbě analytické části střednědobého plánu vycházíme z místní znalosti a komunikace se zástupci samosprávy, poskytovatelů a uživatelských spolků během prvního plánovacího období. Opíráme se o dostupná socioekonomická data, údaje zjištěné na pracovních</w:t>
      </w:r>
      <w:r>
        <w:t xml:space="preserve"> setkáních s poskytovateli služeb (září/říjen 2022), informace z dotazníkových šetření od poskytovatelů služeb (listopad 2022) a ankety o nedostupné pomoci mezi veřejností (květen-červenec 2022). Přitom stavíme na vyhodnocení cílů předešlého plánovacího ob</w:t>
      </w:r>
      <w:r>
        <w:t xml:space="preserve">dobí a držíme v rámci Střednědobého plánu rozvoje sociálních služeb Pardubického kraje na období 2022 – 2024. </w:t>
      </w:r>
    </w:p>
    <w:tbl>
      <w:tblPr>
        <w:tblStyle w:val="Mkatabulky"/>
        <w:tblW w:w="14910" w:type="dxa"/>
        <w:tblInd w:w="8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3210"/>
        <w:gridCol w:w="4519"/>
        <w:gridCol w:w="4144"/>
        <w:gridCol w:w="2505"/>
      </w:tblGrid>
      <w:tr w:rsidR="008149DD">
        <w:tc>
          <w:tcPr>
            <w:tcW w:w="532" w:type="dxa"/>
            <w:vMerge w:val="restart"/>
            <w:tcBorders>
              <w:right w:val="nil"/>
            </w:tcBorders>
            <w:shd w:val="clear" w:color="auto" w:fill="D62E4E"/>
          </w:tcPr>
          <w:p w:rsidR="008149DD" w:rsidRDefault="008149DD">
            <w:pPr>
              <w:pStyle w:val="Bezmezer"/>
              <w:widowControl w:val="0"/>
              <w:jc w:val="center"/>
              <w:rPr>
                <w:b/>
              </w:rPr>
            </w:pPr>
          </w:p>
        </w:tc>
        <w:tc>
          <w:tcPr>
            <w:tcW w:w="7729" w:type="dxa"/>
            <w:gridSpan w:val="2"/>
            <w:tcBorders>
              <w:right w:val="nil"/>
            </w:tcBorders>
            <w:shd w:val="clear" w:color="auto" w:fill="FFFFD7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TAKHLE SI VEDEME</w:t>
            </w:r>
          </w:p>
        </w:tc>
        <w:tc>
          <w:tcPr>
            <w:tcW w:w="6649" w:type="dxa"/>
            <w:gridSpan w:val="2"/>
            <w:shd w:val="clear" w:color="auto" w:fill="FFFFD7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 SE NÁM NABÍZÍ</w:t>
            </w:r>
          </w:p>
        </w:tc>
      </w:tr>
      <w:tr w:rsidR="008149DD">
        <w:tc>
          <w:tcPr>
            <w:tcW w:w="532" w:type="dxa"/>
            <w:vMerge/>
            <w:tcBorders>
              <w:right w:val="nil"/>
            </w:tcBorders>
            <w:shd w:val="clear" w:color="auto" w:fill="F4B083" w:themeFill="accent2" w:themeFillTint="99"/>
          </w:tcPr>
          <w:p w:rsidR="008149DD" w:rsidRDefault="008149DD">
            <w:pPr>
              <w:pStyle w:val="Bezmezer"/>
              <w:widowControl w:val="0"/>
              <w:jc w:val="center"/>
              <w:rPr>
                <w:b/>
              </w:rPr>
            </w:pPr>
          </w:p>
        </w:tc>
        <w:tc>
          <w:tcPr>
            <w:tcW w:w="3210" w:type="dxa"/>
            <w:tcBorders>
              <w:top w:val="nil"/>
            </w:tcBorders>
            <w:shd w:val="clear" w:color="auto" w:fill="90EE90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NA ČEM STAVÍME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FF6347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CO NÁM SCHÁZÍ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90EE90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POTŘEBNÉ ZMĚNY A PŘÍLEŽITOSTI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F6347"/>
          </w:tcPr>
          <w:p w:rsidR="008149DD" w:rsidRDefault="00EE5874">
            <w:pPr>
              <w:pStyle w:val="Bezmezer"/>
              <w:widowControl w:val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HROZBY/RIZIKA</w:t>
            </w:r>
          </w:p>
        </w:tc>
      </w:tr>
      <w:tr w:rsidR="008149DD">
        <w:trPr>
          <w:trHeight w:val="1135"/>
        </w:trPr>
        <w:tc>
          <w:tcPr>
            <w:tcW w:w="532" w:type="dxa"/>
            <w:tcBorders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PROCES</w:t>
            </w:r>
          </w:p>
        </w:tc>
        <w:tc>
          <w:tcPr>
            <w:tcW w:w="3210" w:type="dxa"/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Komunitní plánování </w:t>
            </w:r>
            <w:r>
              <w:rPr>
                <w:rFonts w:eastAsia="Calibri"/>
                <w:sz w:val="18"/>
                <w:szCs w:val="18"/>
              </w:rPr>
              <w:t>sociálních služeb má za sebou první plánovací období (2019-2022).</w:t>
            </w:r>
          </w:p>
        </w:tc>
        <w:tc>
          <w:tcPr>
            <w:tcW w:w="4519" w:type="dxa"/>
            <w:tcBorders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Nebylo možné naplnit plánovaná opatření v potřebné míře např. kvůli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velikosti úvazku koordinátora,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nedostatku financí na realizaci opatření</w:t>
            </w:r>
          </w:p>
        </w:tc>
        <w:tc>
          <w:tcPr>
            <w:tcW w:w="4144" w:type="dxa"/>
            <w:vMerge w:val="restart"/>
            <w:tcBorders>
              <w:right w:val="nil"/>
            </w:tcBorders>
            <w:shd w:val="clear" w:color="auto" w:fill="F7D1D5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Projekt MAS Hlinecko v OPZ+ s názvem </w:t>
            </w:r>
            <w:r>
              <w:rPr>
                <w:rFonts w:eastAsia="Calibri"/>
                <w:i/>
                <w:iCs/>
                <w:sz w:val="18"/>
                <w:szCs w:val="18"/>
              </w:rPr>
              <w:t>Hlinecko – re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gion pomáhající a učící </w:t>
            </w:r>
            <w:r>
              <w:rPr>
                <w:rFonts w:eastAsia="Calibri"/>
                <w:sz w:val="18"/>
                <w:szCs w:val="18"/>
              </w:rPr>
              <w:t>(3/23-12/25), kde je město Hlinsko partnerem</w:t>
            </w:r>
            <w:r>
              <w:rPr>
                <w:rFonts w:eastAsia="Calibri"/>
                <w:i/>
                <w:iCs/>
                <w:sz w:val="18"/>
                <w:szCs w:val="18"/>
              </w:rPr>
              <w:t>: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podpora sociální práce na obcích – vyhledávání potřebných,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podpora pečujících osob,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koordinované zabezpečení potřeb,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podpora bezbariérovosti,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podpora komunitního života,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rozvoj zájmových</w:t>
            </w:r>
            <w:r>
              <w:rPr>
                <w:rFonts w:eastAsia="Calibri"/>
                <w:sz w:val="18"/>
                <w:szCs w:val="18"/>
              </w:rPr>
              <w:t xml:space="preserve"> aktivit na obcích,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studie dostupného bydlení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Projekt je příležitostí k realizaci některých opatření, která nemohla být v předchozím období naplněna vůbec, nebo nebylo jejich plnění efektivní. Jedná se o příležitost k většímu zapojení místních samospráv d</w:t>
            </w:r>
            <w:r>
              <w:rPr>
                <w:rFonts w:eastAsia="Calibri"/>
                <w:sz w:val="18"/>
                <w:szCs w:val="18"/>
              </w:rPr>
              <w:t>o řešení sociální problematiky. Povedou k větší spolupráci obcí s poskytovateli služeb.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  <w:u w:val="single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505" w:type="dxa"/>
            <w:shd w:val="clear" w:color="auto" w:fill="F7D1D5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Ukončení procesu KP (finanční/ personální důvody).</w:t>
            </w:r>
          </w:p>
        </w:tc>
      </w:tr>
      <w:tr w:rsidR="008149DD">
        <w:trPr>
          <w:trHeight w:val="1135"/>
        </w:trPr>
        <w:tc>
          <w:tcPr>
            <w:tcW w:w="532" w:type="dxa"/>
            <w:tcBorders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PROCES</w:t>
            </w:r>
          </w:p>
        </w:tc>
        <w:tc>
          <w:tcPr>
            <w:tcW w:w="3210" w:type="dxa"/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Většina obcí v území se po celé první plánovací období a nyní dále finančně podílí na řízení  plánování  - </w:t>
            </w:r>
            <w:r>
              <w:rPr>
                <w:rFonts w:eastAsia="Calibri"/>
                <w:sz w:val="18"/>
                <w:szCs w:val="18"/>
              </w:rPr>
              <w:t>úvazku koordinátora.</w:t>
            </w:r>
          </w:p>
        </w:tc>
        <w:tc>
          <w:tcPr>
            <w:tcW w:w="4519" w:type="dxa"/>
            <w:tcBorders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Město Hlinsko musí některé obce opakovaně vyzývat k uhrazení schválené částky, čímž se komplikuje administrativní proces. Obce, které se na financování nepodílí, nemají jistý přístup k některým aktivitám a opatřením, která se v rámci p</w:t>
            </w:r>
            <w:r>
              <w:rPr>
                <w:rFonts w:eastAsia="Calibri"/>
                <w:sz w:val="18"/>
                <w:szCs w:val="18"/>
              </w:rPr>
              <w:t>lánování sociálních služeb odehrávají.</w:t>
            </w:r>
          </w:p>
        </w:tc>
        <w:tc>
          <w:tcPr>
            <w:tcW w:w="4144" w:type="dxa"/>
            <w:vMerge/>
            <w:tcBorders>
              <w:right w:val="nil"/>
            </w:tcBorders>
            <w:shd w:val="clear" w:color="auto" w:fill="F7D1D5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shd w:val="clear" w:color="auto" w:fill="F7D1D5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Obce se nebudou chtít finančně podílet.</w:t>
            </w:r>
          </w:p>
        </w:tc>
      </w:tr>
      <w:tr w:rsidR="008149DD">
        <w:trPr>
          <w:trHeight w:val="1135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PROCES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rámci komunitního plánování dochází k setkávání poskytovatelů služeb, včetně setkání se zástupci samospráv.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Tato setkávání nejsou pravidelná a dochází k nim v malé fr</w:t>
            </w:r>
            <w:r>
              <w:rPr>
                <w:rFonts w:eastAsia="Calibri"/>
                <w:sz w:val="18"/>
                <w:szCs w:val="18"/>
              </w:rPr>
              <w:t>ekvenci: setkání poskytovatelů se zástupci samospráv (1x plánovací období), setkání poskytovatelů v okruhu cílových skupin (min. 1x ročně).</w:t>
            </w:r>
          </w:p>
        </w:tc>
        <w:tc>
          <w:tcPr>
            <w:tcW w:w="4144" w:type="dxa"/>
            <w:vMerge/>
            <w:tcBorders>
              <w:right w:val="nil"/>
            </w:tcBorders>
            <w:shd w:val="clear" w:color="auto" w:fill="F7D1D5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F7D1D5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Malý zájem samospráv/ poskytovatelů služeb zapojit se.</w:t>
            </w:r>
          </w:p>
        </w:tc>
      </w:tr>
      <w:tr w:rsidR="008149DD">
        <w:trPr>
          <w:trHeight w:val="1135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PROCES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MAS Hlinecko působí na většině území a spolupracuje </w:t>
            </w:r>
            <w:r>
              <w:rPr>
                <w:rFonts w:eastAsia="Calibri"/>
                <w:sz w:val="18"/>
                <w:szCs w:val="18"/>
              </w:rPr>
              <w:t>přitom na sociální problematice. Aktuálně realizuje projekt Hlinecko – region pomáhající a učící a partnerem mu je Město Hlinsko.  V rámci projektu budou zabezpečeny některé priority z minulého i aktuálního plánovacího období.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MAS Hlinecko nemá působnost v</w:t>
            </w:r>
            <w:r>
              <w:rPr>
                <w:rFonts w:eastAsia="Calibri"/>
                <w:sz w:val="18"/>
                <w:szCs w:val="18"/>
              </w:rPr>
              <w:t>e všech obcích ORP (členy nejsou Kameničky, Studnice a Svratouch, naopak je Mrákotín z ORP Chrudim). Některá opatření realizovaná za podpory MAS tak nemusí mít dopad na celé území ORP.</w:t>
            </w:r>
          </w:p>
        </w:tc>
        <w:tc>
          <w:tcPr>
            <w:tcW w:w="4144" w:type="dxa"/>
            <w:vMerge/>
            <w:tcBorders>
              <w:right w:val="nil"/>
            </w:tcBorders>
            <w:shd w:val="clear" w:color="auto" w:fill="F7D1D5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F7D1D5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Nízká ochota aktérů v síti účastnit se daných projektových aktivit.</w:t>
            </w:r>
          </w:p>
        </w:tc>
      </w:tr>
      <w:tr w:rsidR="008149DD">
        <w:trPr>
          <w:trHeight w:val="1019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P</w:t>
            </w:r>
            <w:r>
              <w:rPr>
                <w:rFonts w:eastAsia="Calibri"/>
                <w:b/>
                <w:bCs/>
              </w:rPr>
              <w:t>ROCES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Dobrá spolupráce mezi Pardubickým krajem, ORP a poskytovateli SS.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Plánovací období v ORP Hlinsko (2023-2025), které vzešlo z projektového období MAS, neodpovídá období střednědobého plánování kraje (2022-2024).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F7D1D5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Vyjednávat s krajským úřadem o navýšení</w:t>
            </w:r>
            <w:r>
              <w:rPr>
                <w:rFonts w:eastAsia="Calibri"/>
                <w:sz w:val="18"/>
                <w:szCs w:val="18"/>
              </w:rPr>
              <w:t xml:space="preserve"> potřebných kapacit služeb.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Zapojit se do systémových projektů Pk.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7D1D5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Změna sociální politiky Pk / klíčových úředníků KÚ.</w:t>
            </w:r>
          </w:p>
        </w:tc>
      </w:tr>
      <w:tr w:rsidR="008149DD">
        <w:trPr>
          <w:trHeight w:val="1135"/>
        </w:trPr>
        <w:tc>
          <w:tcPr>
            <w:tcW w:w="532" w:type="dxa"/>
            <w:vMerge w:val="restart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DOSTUPNOST SLUŽEB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území ORP je poskytována široká paleta SS  dle zák. 108/2006 Sb.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Některé druhy služeb jsou poskytovány ve spádovýc</w:t>
            </w:r>
            <w:r>
              <w:rPr>
                <w:rFonts w:eastAsia="Calibri"/>
                <w:sz w:val="18"/>
                <w:szCs w:val="18"/>
              </w:rPr>
              <w:t>h centrech (Chrudim, Pardubice), a pro někoho tudíž hůře dostupné, např. krizová pomoc, odborné sociální poradenství (rodinné poradenství/adiktologické poradenství). V případě chybějících pobytových služeb v blízkosti bydliště, jsou lidé ohroženi ztrátou p</w:t>
            </w:r>
            <w:r>
              <w:rPr>
                <w:rFonts w:eastAsia="Calibri"/>
                <w:sz w:val="18"/>
                <w:szCs w:val="18"/>
              </w:rPr>
              <w:t xml:space="preserve">řirozených </w:t>
            </w:r>
            <w:r>
              <w:rPr>
                <w:rFonts w:eastAsia="Calibri"/>
                <w:sz w:val="18"/>
                <w:szCs w:val="18"/>
              </w:rPr>
              <w:lastRenderedPageBreak/>
              <w:t>zdrojů, společenského kontaktu a dosavadního způsobu života, např. chránění bydlení pro osoby se zdravotním postižením.</w:t>
            </w:r>
          </w:p>
        </w:tc>
        <w:tc>
          <w:tcPr>
            <w:tcW w:w="4144" w:type="dxa"/>
            <w:vMerge w:val="restart"/>
            <w:tcBorders>
              <w:top w:val="nil"/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Zachovat v plné míře stávající sociální služby.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Zlepšit dostupnost některých druhů sociálních služeb. Konkrétně popsáno u je</w:t>
            </w:r>
            <w:r>
              <w:rPr>
                <w:rFonts w:eastAsia="Calibri"/>
                <w:sz w:val="18"/>
                <w:szCs w:val="18"/>
              </w:rPr>
              <w:t>dnotlivých CS.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505" w:type="dxa"/>
            <w:vMerge w:val="restart"/>
            <w:tcBorders>
              <w:top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Nenajde se poskytovatel. Nedojde k navýšení úvazků/kapacit v krajské síti. Chybějící finanční prostředky.</w:t>
            </w:r>
          </w:p>
        </w:tc>
      </w:tr>
      <w:tr w:rsidR="008149DD">
        <w:trPr>
          <w:trHeight w:val="95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BBE33D"/>
            <w:textDirection w:val="btLr"/>
          </w:tcPr>
          <w:p w:rsidR="008149DD" w:rsidRDefault="008149DD">
            <w:pPr>
              <w:pStyle w:val="Bezmezer"/>
              <w:widowControl w:val="0"/>
              <w:rPr>
                <w:b/>
                <w:bCs/>
              </w:rPr>
            </w:pPr>
          </w:p>
        </w:tc>
        <w:tc>
          <w:tcPr>
            <w:tcW w:w="3210" w:type="dxa"/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Široká nabídka aktivit sociálního charakteru, zvl. aktivit pro děti.</w:t>
            </w:r>
          </w:p>
        </w:tc>
        <w:tc>
          <w:tcPr>
            <w:tcW w:w="4519" w:type="dxa"/>
            <w:tcBorders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Nižší atraktivita volnočasových programů pro mládež. Žádný z </w:t>
            </w:r>
            <w:r>
              <w:rPr>
                <w:rFonts w:eastAsia="Calibri"/>
                <w:sz w:val="18"/>
                <w:szCs w:val="18"/>
              </w:rPr>
              <w:t>poskytovatelů sociálních služeb nevykonává depistáž mezi neorganizovanou mládeží. Menší dostupnost volnočasových aktivit pro děti se zdravotním postižením.</w:t>
            </w:r>
          </w:p>
        </w:tc>
        <w:tc>
          <w:tcPr>
            <w:tcW w:w="4144" w:type="dxa"/>
            <w:vMerge/>
            <w:tcBorders>
              <w:top w:val="nil"/>
              <w:right w:val="nil"/>
            </w:tcBorders>
            <w:shd w:val="clear" w:color="auto" w:fill="FFCDD2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FFCDD2"/>
          </w:tcPr>
          <w:p w:rsidR="008149DD" w:rsidRDefault="008149DD">
            <w:pPr>
              <w:pStyle w:val="Bezmezer"/>
              <w:widowControl w:val="0"/>
              <w:jc w:val="left"/>
              <w:rPr>
                <w:rFonts w:ascii="Calibri" w:eastAsia="Calibri" w:hAnsi="Calibri"/>
              </w:rPr>
            </w:pPr>
          </w:p>
        </w:tc>
      </w:tr>
      <w:tr w:rsidR="008149DD">
        <w:trPr>
          <w:trHeight w:val="2040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FINANCOVÁNÍ  SLIUŽEB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Město Hlinsko má jasná kritéria pro rozdělování programových dotací na </w:t>
            </w:r>
            <w:r>
              <w:rPr>
                <w:rFonts w:eastAsia="Calibri"/>
                <w:sz w:val="18"/>
                <w:szCs w:val="18"/>
              </w:rPr>
              <w:t>sociální služby a související aktivity sociálního charakteru.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Spolufinancování služeb ze strany obcí je nahodilé. Někteří poskytovatelé žádají finance od obcí, kde aktuálně nemají klienty, a naopak nežádají od těch, kde klienty mají. Pro některé poskytovat</w:t>
            </w:r>
            <w:r>
              <w:rPr>
                <w:rFonts w:eastAsia="Calibri"/>
                <w:sz w:val="18"/>
                <w:szCs w:val="18"/>
              </w:rPr>
              <w:t>ele není efektivní žádat jednotlivě od menších obcí, a v takovém případě náklady nerovnoměrně hradí z dotace z rozpočtu města Hlinsko.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</w:pPr>
            <w:r>
              <w:rPr>
                <w:rFonts w:eastAsia="Calibri"/>
                <w:sz w:val="18"/>
                <w:szCs w:val="18"/>
              </w:rPr>
              <w:t xml:space="preserve">Zabezpečení společného financování sociálních a souvisejících služeb na území ORP Hlinsko dle </w:t>
            </w:r>
            <w:r>
              <w:rPr>
                <w:rStyle w:val="PromnnHTML"/>
                <w:rFonts w:eastAsia="Calibri" w:cs="Calibri"/>
                <w:color w:val="000000"/>
                <w:sz w:val="18"/>
                <w:szCs w:val="18"/>
              </w:rPr>
              <w:t xml:space="preserve">§7, §9 </w:t>
            </w:r>
            <w:r>
              <w:rPr>
                <w:rFonts w:eastAsia="Calibri" w:cs="Calibri"/>
                <w:i/>
                <w:iCs/>
                <w:sz w:val="18"/>
                <w:szCs w:val="18"/>
              </w:rPr>
              <w:t>z. č. 134/2016 Sb.,</w:t>
            </w:r>
            <w:r>
              <w:rPr>
                <w:rStyle w:val="h1a"/>
                <w:rFonts w:eastAsia="Calibri" w:cs="Calibri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h1a"/>
                <w:rFonts w:eastAsia="Calibri" w:cs="Calibri"/>
                <w:i/>
                <w:iCs/>
                <w:sz w:val="18"/>
                <w:szCs w:val="18"/>
              </w:rPr>
              <w:t xml:space="preserve">o zadávání veřejných zakázek, resp. </w:t>
            </w:r>
            <w:r>
              <w:rPr>
                <w:rFonts w:eastAsia="Calibri" w:cs="Calibri"/>
                <w:i/>
                <w:iCs/>
                <w:sz w:val="18"/>
                <w:szCs w:val="18"/>
              </w:rPr>
              <w:t>§5–6 z. č. 250/2000 Sb.,</w:t>
            </w:r>
            <w:r>
              <w:rPr>
                <w:rStyle w:val="h1a"/>
                <w:rFonts w:eastAsia="Calibri" w:cs="Calibri"/>
                <w:i/>
                <w:iCs/>
                <w:sz w:val="18"/>
                <w:szCs w:val="18"/>
              </w:rPr>
              <w:t xml:space="preserve"> o rozpočtových pravidlech územních rozpočtů. S cílem větší participace samospráv na zabezpečování potřeb občanů dle §35 z. č. 128/2000 Sb., o obcích, efektivního a transparentního procesu adminis</w:t>
            </w:r>
            <w:r>
              <w:rPr>
                <w:rStyle w:val="h1a"/>
                <w:rFonts w:eastAsia="Calibri" w:cs="Calibri"/>
                <w:i/>
                <w:iCs/>
                <w:sz w:val="18"/>
                <w:szCs w:val="18"/>
              </w:rPr>
              <w:t>trace, informovanosti a rozdělování peněz.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Samosprávy/poskytovatelé se nebudou chtít zapojit do společného financování. Nedostatek financí ve společném rozpočtu.</w:t>
            </w:r>
          </w:p>
        </w:tc>
      </w:tr>
      <w:tr w:rsidR="008149DD">
        <w:trPr>
          <w:trHeight w:val="1744"/>
        </w:trPr>
        <w:tc>
          <w:tcPr>
            <w:tcW w:w="532" w:type="dxa"/>
            <w:tcBorders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INFORMOVANOST</w:t>
            </w:r>
          </w:p>
        </w:tc>
        <w:tc>
          <w:tcPr>
            <w:tcW w:w="3210" w:type="dxa"/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Pravidelné informování zástupců obcí o aktualitách v síti služeb ze strany </w:t>
            </w:r>
            <w:r>
              <w:rPr>
                <w:rFonts w:eastAsia="Calibri"/>
                <w:sz w:val="18"/>
                <w:szCs w:val="18"/>
              </w:rPr>
              <w:t>koordinátora. Pravidelně aktualizovaný online katalog sociálních služeb a souvisejících aktivit.</w:t>
            </w:r>
          </w:p>
        </w:tc>
        <w:tc>
          <w:tcPr>
            <w:tcW w:w="4519" w:type="dxa"/>
            <w:tcBorders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Malá informovanost obcí a veřejnosti o poskytovaných službách</w:t>
            </w:r>
            <w:r>
              <w:rPr>
                <w:rFonts w:eastAsia="Calibri"/>
                <w:sz w:val="18"/>
                <w:szCs w:val="18"/>
                <w:u w:val="single"/>
              </w:rPr>
              <w:t>.</w:t>
            </w:r>
            <w:r>
              <w:rPr>
                <w:rFonts w:eastAsia="Calibri"/>
                <w:sz w:val="18"/>
                <w:szCs w:val="18"/>
              </w:rPr>
              <w:t xml:space="preserve"> Během prvního plánovacího období se ve větší míře nepodařilo zajistit funkční činnost zástupců o</w:t>
            </w:r>
            <w:r>
              <w:rPr>
                <w:rFonts w:eastAsia="Calibri"/>
                <w:sz w:val="18"/>
                <w:szCs w:val="18"/>
              </w:rPr>
              <w:t>bcí pro sociální věci.</w:t>
            </w:r>
          </w:p>
        </w:tc>
        <w:tc>
          <w:tcPr>
            <w:tcW w:w="4144" w:type="dxa"/>
            <w:tcBorders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Během projekt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Hlinecko – region pomáhající a učící </w:t>
            </w:r>
            <w:r>
              <w:rPr>
                <w:rFonts w:eastAsia="Calibri"/>
                <w:sz w:val="18"/>
                <w:szCs w:val="18"/>
              </w:rPr>
              <w:t>dojde k rozvoji sociální práce na obcích a cílenému informování veřejnosti a potřebných o dostupných službách.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Uspořádat osobní setkání zástupců samospráv s poskytovateli služeb (nap</w:t>
            </w:r>
            <w:r>
              <w:rPr>
                <w:rFonts w:eastAsia="Calibri"/>
                <w:sz w:val="18"/>
                <w:szCs w:val="18"/>
              </w:rPr>
              <w:t>ř. konverzační stoly – metoda world cafe).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Pravidelná aktualizace online katalogu.</w:t>
            </w:r>
          </w:p>
        </w:tc>
        <w:tc>
          <w:tcPr>
            <w:tcW w:w="2505" w:type="dxa"/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Neobsazení pozice terénního pracovníka v projektu.</w:t>
            </w:r>
          </w:p>
          <w:p w:rsidR="008149DD" w:rsidRDefault="008149DD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Malá součinnost samospráv/ poskytovatelů.</w:t>
            </w:r>
          </w:p>
        </w:tc>
      </w:tr>
      <w:tr w:rsidR="008149DD">
        <w:trPr>
          <w:trHeight w:val="1046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Řada poskytovatelů služeb spolupracuje v rámci komunitního </w:t>
            </w:r>
            <w:r>
              <w:rPr>
                <w:rFonts w:eastAsia="Calibri"/>
                <w:sz w:val="18"/>
                <w:szCs w:val="18"/>
              </w:rPr>
              <w:t>plánování na rozvoji kvality služeb (např. v oblasti sociálně-právní ochrany dětí).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místní síti služeb až na oblast sociálně-právní ochrany dětí a další dílčí případy není zavedená koordinovaná případová práce (case management) při zajišťování potřeb lid</w:t>
            </w:r>
            <w:r>
              <w:rPr>
                <w:rFonts w:eastAsia="Calibri"/>
                <w:sz w:val="18"/>
                <w:szCs w:val="18"/>
              </w:rPr>
              <w:t>í ze strany více aktérů.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Během projektu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Hlinecko – region pomáhající a učící </w:t>
            </w:r>
            <w:r>
              <w:rPr>
                <w:rFonts w:eastAsia="Calibri"/>
                <w:sz w:val="18"/>
                <w:szCs w:val="18"/>
              </w:rPr>
              <w:t>dojde k rozvoji koordinovaného zabezpečení potřeb/ případového vedení. V rámci projektu bude nabídnuto místním aktérům vzdělávání v case managementu.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Nezájem poskytovatelů služeb </w:t>
            </w:r>
            <w:r>
              <w:rPr>
                <w:rFonts w:eastAsia="Calibri"/>
                <w:sz w:val="18"/>
                <w:szCs w:val="18"/>
              </w:rPr>
              <w:t>o rozvoj spolupráce.</w:t>
            </w:r>
          </w:p>
        </w:tc>
      </w:tr>
      <w:tr w:rsidR="008149DD">
        <w:trPr>
          <w:trHeight w:val="1410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DOBROVOLNICTVÍ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území dlouhodobě funguje akreditovaný dobrovolnický program, která zabezpečuje dlouhodobé dobrovolníky pro potřeby sociálních služeb a souvisejících aktivit, i dobrovolníky na jednorázové akce.</w:t>
            </w: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Na konci prvního </w:t>
            </w:r>
            <w:r>
              <w:rPr>
                <w:rFonts w:eastAsia="Calibri"/>
                <w:sz w:val="18"/>
                <w:szCs w:val="18"/>
              </w:rPr>
              <w:t>plánovacího období došlo k personálním změnám a oslabení činnosti dobrovolnického programu.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Rozvoj potenciálu dobrovolnické činnosti na Hlinecku. Zrevidovat potřebnost u stávajících poskytovatelů a cílových skupin a hledat příležitosti pro podporu nových c</w:t>
            </w:r>
            <w:r>
              <w:rPr>
                <w:rFonts w:eastAsia="Calibri"/>
                <w:sz w:val="18"/>
                <w:szCs w:val="18"/>
              </w:rPr>
              <w:t>ílových skupin (např. komunitní výpomoc neformálním pečujícím/ seniorům/ OZP, bez dostatečné podpory okolí).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Nedostatek dobrovolníků.</w:t>
            </w:r>
          </w:p>
          <w:p w:rsidR="008149DD" w:rsidRDefault="008149DD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Častá změna na pozici koordinátora.</w:t>
            </w:r>
          </w:p>
        </w:tc>
      </w:tr>
      <w:tr w:rsidR="008149DD">
        <w:trPr>
          <w:trHeight w:val="1005"/>
        </w:trPr>
        <w:tc>
          <w:tcPr>
            <w:tcW w:w="532" w:type="dxa"/>
            <w:tcBorders>
              <w:top w:val="nil"/>
              <w:right w:val="nil"/>
            </w:tcBorders>
            <w:shd w:val="clear" w:color="auto" w:fill="D62E4E"/>
            <w:textDirection w:val="btLr"/>
          </w:tcPr>
          <w:p w:rsidR="008149DD" w:rsidRDefault="00EE5874">
            <w:pPr>
              <w:pStyle w:val="Bezmezer"/>
              <w:widowControl w:val="0"/>
              <w:spacing w:line="11" w:lineRule="atLeast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rFonts w:eastAsia="Calibri"/>
                <w:b/>
                <w:bCs/>
                <w:sz w:val="14"/>
                <w:szCs w:val="14"/>
              </w:rPr>
              <w:t>SERVIS PRO NNO</w:t>
            </w:r>
          </w:p>
        </w:tc>
        <w:tc>
          <w:tcPr>
            <w:tcW w:w="3210" w:type="dxa"/>
            <w:tcBorders>
              <w:top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Na území Hlinecka pomáhá MAS Hlinecko místním poskytovatelům </w:t>
            </w:r>
            <w:r>
              <w:rPr>
                <w:rFonts w:eastAsia="Calibri"/>
                <w:sz w:val="18"/>
                <w:szCs w:val="18"/>
              </w:rPr>
              <w:t>zajišťovat dotační příležitosti.</w:t>
            </w:r>
          </w:p>
          <w:p w:rsidR="00EE5874" w:rsidRDefault="00EE5874">
            <w:pPr>
              <w:pStyle w:val="Bezmezer"/>
              <w:widowControl w:val="0"/>
              <w:rPr>
                <w:rFonts w:eastAsia="Calibri"/>
                <w:sz w:val="18"/>
                <w:szCs w:val="18"/>
              </w:rPr>
            </w:pPr>
          </w:p>
          <w:p w:rsidR="00EE5874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nil"/>
              <w:right w:val="nil"/>
            </w:tcBorders>
            <w:shd w:val="clear" w:color="auto" w:fill="EC9BA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Poskytovatelům služeb a svépomocným spolkům chybí možnost bezplatného poradenství v oblasti legislativy související s jejich činností.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Zajistit bezplatný poradenský servis pro NNO na Hlinecku v oblasti legislativy, která so</w:t>
            </w:r>
            <w:r>
              <w:rPr>
                <w:rFonts w:eastAsia="Calibri"/>
                <w:sz w:val="18"/>
                <w:szCs w:val="18"/>
              </w:rPr>
              <w:t>uvisí s jejich činností.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FFCDD2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Nepodaří se zajisti bezplatný servis.</w:t>
            </w:r>
          </w:p>
        </w:tc>
      </w:tr>
      <w:tr w:rsidR="008149DD" w:rsidTr="00EE5874">
        <w:trPr>
          <w:trHeight w:val="457"/>
        </w:trPr>
        <w:tc>
          <w:tcPr>
            <w:tcW w:w="532" w:type="dxa"/>
            <w:vMerge w:val="restart"/>
            <w:tcBorders>
              <w:top w:val="nil"/>
              <w:right w:val="nil"/>
            </w:tcBorders>
            <w:shd w:val="clear" w:color="auto" w:fill="00FFFF"/>
            <w:textDirection w:val="btLr"/>
          </w:tcPr>
          <w:p w:rsidR="008149DD" w:rsidRDefault="00EE5874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lastRenderedPageBreak/>
              <w:t>RODINNÍ PEČUJÍCÍ</w:t>
            </w: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Stávající poskytovatelé jsou vstřícní (především pečovatelských služeb, domova seniorů) k zajištění základní podpory rodinám pečujícím o své blízké.</w:t>
            </w:r>
          </w:p>
        </w:tc>
        <w:tc>
          <w:tcPr>
            <w:tcW w:w="4519" w:type="dxa"/>
            <w:vMerge w:val="restart"/>
            <w:tcBorders>
              <w:top w:val="nil"/>
              <w:right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regionu chybí </w:t>
            </w:r>
            <w:r>
              <w:rPr>
                <w:rFonts w:eastAsia="Calibri"/>
                <w:sz w:val="18"/>
                <w:szCs w:val="18"/>
              </w:rPr>
              <w:t xml:space="preserve">systematická podpora pro neformální pečující (o seniora/osobu se zdravotním postižením/ chronickým onemocněním včetně dítěte). Nedochází k jejich aktivní depistáži ani podpoře jejich zájmů (v rámci poskytování služeb nejsou pečující zpravidla vnímáni jako </w:t>
            </w:r>
            <w:r>
              <w:rPr>
                <w:rFonts w:eastAsia="Calibri"/>
                <w:sz w:val="18"/>
                <w:szCs w:val="18"/>
              </w:rPr>
              <w:t>klienti, ale rodinní příslušníci klientů, jejichž zájem je sledován). Zcela zde chybí dostupné odlehčovací služby pobytové (senioři/OZP včetně osob s PAS) i krátkodobé terénní (např. na víkend).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rámci projektu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Hlinecko – region pomáhající a učící </w:t>
            </w:r>
            <w:r>
              <w:rPr>
                <w:rFonts w:eastAsia="Calibri"/>
                <w:sz w:val="18"/>
                <w:szCs w:val="18"/>
              </w:rPr>
              <w:t>dojde k</w:t>
            </w:r>
            <w:r>
              <w:rPr>
                <w:rFonts w:eastAsia="Calibri"/>
                <w:sz w:val="18"/>
                <w:szCs w:val="18"/>
              </w:rPr>
              <w:t xml:space="preserve"> rozvoji terénní sociální práce na obcích (aktivní vyhledávání potřebných včetně rodinných pečujících), v Hlinsku vznikne Kontaktní místo pro pečující (které bude poskytovat základní i specifickou podporu pečujícím – budou-li chtít - přímo u nich doma).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Neobsazení pozice terénního pracovníka v projektu.</w:t>
            </w:r>
          </w:p>
          <w:p w:rsidR="008149DD" w:rsidRDefault="008149DD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pečujících (např. obavy pustit si pracovníka domů).</w:t>
            </w:r>
          </w:p>
        </w:tc>
      </w:tr>
      <w:tr w:rsidR="008149DD">
        <w:trPr>
          <w:trHeight w:val="457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right w:val="nil"/>
            </w:tcBorders>
            <w:shd w:val="clear" w:color="auto" w:fill="E0FFFF"/>
            <w:tcMar>
              <w:top w:w="55" w:type="dxa"/>
              <w:bottom w:w="55" w:type="dxa"/>
            </w:tcMar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Zajištění komunitní pobytové odlehčovací služby (pro seniory a OZP) na Hlinecku (v kapacitě 5 – 8 lůžek).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Zajištění terénní </w:t>
            </w:r>
            <w:r>
              <w:rPr>
                <w:rFonts w:eastAsia="Calibri"/>
                <w:sz w:val="18"/>
                <w:szCs w:val="18"/>
              </w:rPr>
              <w:t>odlehčovací služby pro seniory/ OZP včetně osob s PAS na Hlinecku pro nepravidelnou podporu s vícehodinovým i celodenním rozsahem. Podpora se odehrává v domácím prostředí klienta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Nezájem ze strany poskytovatelů o vznik nových služeb.</w:t>
            </w:r>
          </w:p>
          <w:p w:rsidR="008149DD" w:rsidRDefault="008149DD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Nezajištění vhodného </w:t>
            </w:r>
            <w:r>
              <w:rPr>
                <w:rFonts w:eastAsia="Calibri"/>
                <w:sz w:val="18"/>
                <w:szCs w:val="18"/>
              </w:rPr>
              <w:t>zázemí pro pobytovou službu.</w:t>
            </w:r>
          </w:p>
        </w:tc>
      </w:tr>
      <w:tr w:rsidR="008149DD">
        <w:trPr>
          <w:trHeight w:val="200"/>
        </w:trPr>
        <w:tc>
          <w:tcPr>
            <w:tcW w:w="532" w:type="dxa"/>
            <w:vMerge w:val="restart"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EE5874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SENIOŘI  A OSOBY SE ZDRAVOTNÍM POSTIŽENÍM</w:t>
            </w: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jsou dostupné terénní a ambulantní služby pro seniory. Ve čtyřech obcích byty zvláštního určení s podporou terénní služby (DPS). V Hlinsku domov seniorů s vyčleněnými lůžky d</w:t>
            </w:r>
            <w:r>
              <w:rPr>
                <w:rFonts w:eastAsia="Calibri"/>
                <w:sz w:val="18"/>
                <w:szCs w:val="18"/>
              </w:rPr>
              <w:t>omova se zvláštním režimem pro osoby seniorského věku s demencí.</w:t>
            </w:r>
          </w:p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regionu je dostupné široké spektrum terénních a ambulantních služeb pro osoby se zdravotním postižením, včetně ošetřovatelské péče a domácí hospicové péče (oboje hrazeno z veřejného </w:t>
            </w:r>
            <w:r>
              <w:rPr>
                <w:rFonts w:eastAsia="Calibri"/>
                <w:sz w:val="18"/>
                <w:szCs w:val="18"/>
              </w:rPr>
              <w:t>zdravotního pojištění). K dispozici je i půjčovna kompenzačních pomůcek. Dostupná je i spolková činnost.</w:t>
            </w:r>
          </w:p>
        </w:tc>
        <w:tc>
          <w:tcPr>
            <w:tcW w:w="4519" w:type="dxa"/>
            <w:vMerge w:val="restart"/>
            <w:tcBorders>
              <w:top w:val="nil"/>
              <w:right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Nedostatečně koordinovaná spolupráce za účelem setrvání osob v přirozeném prostředí. Nedostatečná depistáž seniorů za účelem nastavení včasné podpory. </w:t>
            </w:r>
            <w:r>
              <w:rPr>
                <w:rFonts w:eastAsia="Calibri"/>
                <w:sz w:val="18"/>
                <w:szCs w:val="18"/>
              </w:rPr>
              <w:t>Nedostatečná kapacita domova seniorů /domova se zvláštním režimem. Současné zařízení nesplňuje parametry komunitní pobytové služby.</w:t>
            </w:r>
          </w:p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Nedostatečná depistáž osob se zdravotním postižením za účelem nastavení včasné podpory. Chybí ambulantní služba sociální pé</w:t>
            </w:r>
            <w:r>
              <w:rPr>
                <w:rFonts w:eastAsia="Calibri"/>
                <w:sz w:val="18"/>
                <w:szCs w:val="18"/>
              </w:rPr>
              <w:t>če pro osoby chováním náročným na péči (např. s PAS). Chybí pobytové služby pro osoby s mentálním postižením/duševním onemocněním/PAS jako chráněné bydlení/DOZP/DZR komunitního typu. V regionu je jádrová cílová skupina osob s mentálním/kombinovaným postiže</w:t>
            </w:r>
            <w:r>
              <w:rPr>
                <w:rFonts w:eastAsia="Calibri"/>
                <w:sz w:val="18"/>
                <w:szCs w:val="18"/>
              </w:rPr>
              <w:t>ním, která využívá mj. CDS Motýl/sociálně-terapeutické dílny a chybí pro ně návazná pobytová služba.</w:t>
            </w:r>
          </w:p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 lidi s mentálním postižením a osoby s duševním onemocněním usilující o zotavení je obtížně dostupné nájemní bydlení a zaměstnávání na otevřeném trhu p</w:t>
            </w:r>
            <w:r>
              <w:rPr>
                <w:rFonts w:eastAsia="Calibri"/>
                <w:sz w:val="18"/>
                <w:szCs w:val="18"/>
              </w:rPr>
              <w:t>ráce.</w:t>
            </w: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 děti se zdravotním postižením jsou obtížně dostupné volnočasové aktivity.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Lidé s mentálním postižením a lidé s duševním onemocněním v rámci obhajování svých zájmů potřebují zlepšit vlastní obraz a povědomí o svých potřebách u široké veřejnosti.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regionu je nedostatečná bezbariérovost samotných SS, </w:t>
            </w:r>
            <w:r>
              <w:rPr>
                <w:rFonts w:eastAsia="Calibri"/>
                <w:sz w:val="18"/>
                <w:szCs w:val="18"/>
              </w:rPr>
              <w:lastRenderedPageBreak/>
              <w:t>úřadů, veřejných prostranství, málo parkovacích míst pro TP.</w:t>
            </w:r>
          </w:p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Lidé s vážným duševním onemocněním v kombinaci s (látkovou) závislostí nemají na Hlinecku zajištěnu adiktologickou podporu.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V  projektu </w:t>
            </w:r>
            <w:r>
              <w:rPr>
                <w:rFonts w:eastAsia="Calibri"/>
                <w:i/>
                <w:iCs/>
                <w:sz w:val="18"/>
                <w:szCs w:val="18"/>
              </w:rPr>
              <w:t>Hl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inecko – region pomáhající a učící </w:t>
            </w:r>
            <w:r>
              <w:rPr>
                <w:rFonts w:eastAsia="Calibri"/>
                <w:sz w:val="18"/>
                <w:szCs w:val="18"/>
              </w:rPr>
              <w:t xml:space="preserve">dojde k rozvoji terénní sociální práce na obcích (aktivní vyhledávání potřebných), rozvoji koordinované spolupráce, vzniku studie bezbariérovosti, vzniku studie dostupného bydlení. Při rozvoji zájmových aktivit na obcích </w:t>
            </w:r>
            <w:r>
              <w:rPr>
                <w:rFonts w:eastAsia="Calibri"/>
                <w:sz w:val="18"/>
                <w:szCs w:val="18"/>
              </w:rPr>
              <w:t>a podpoře komunitního života se zaměřit i na potřeby OZP, zejména dětí se zdravotním postižením.</w:t>
            </w:r>
          </w:p>
        </w:tc>
        <w:tc>
          <w:tcPr>
            <w:tcW w:w="2505" w:type="dxa"/>
            <w:vMerge w:val="restart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Nedojde k obsazení projektových pozic.</w:t>
            </w:r>
          </w:p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Nedostatečné zapojení samospráv / poskytovatelů do projektových aktivit.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Zájemcům o pobytové služby v domově </w:t>
            </w:r>
            <w:r>
              <w:rPr>
                <w:rFonts w:eastAsia="Calibri"/>
                <w:sz w:val="18"/>
                <w:szCs w:val="18"/>
              </w:rPr>
              <w:t>seniorů/domově se zvláštním režimem systematicky nabízet koordinované zabezpečení potřeb prostřednictvím case managementu.</w:t>
            </w: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E0FFFF"/>
          </w:tcPr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Aktivně reagovat na nedostatečné kapacity terénních a ambulantních služeb jednáním se zřizovateli a KÚ Pk o jejich navýšení.</w:t>
            </w:r>
          </w:p>
        </w:tc>
        <w:tc>
          <w:tcPr>
            <w:tcW w:w="2505" w:type="dxa"/>
            <w:vMerge w:val="restart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Nedostatek finančních prostředků na plánovaná opatření.</w:t>
            </w:r>
          </w:p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poskytovatelů.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 spolupráci s KÚ Pk v individuálních případech zajistit místo a podporu v regionálně dostupných ambulantních službách pro OZP osobám s PAS z Hlinecka.</w:t>
            </w:r>
          </w:p>
        </w:tc>
        <w:tc>
          <w:tcPr>
            <w:tcW w:w="2505" w:type="dxa"/>
            <w:vMerge/>
            <w:tcBorders>
              <w:top w:val="nil"/>
            </w:tcBorders>
            <w:shd w:val="clear" w:color="auto" w:fill="E0FFFF"/>
          </w:tcPr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</w:p>
        </w:tc>
      </w:tr>
      <w:tr w:rsidR="008149DD">
        <w:trPr>
          <w:trHeight w:val="186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Zpracovat záměr a jednat se samosprávami, zřizovateli služeb a KÚ Pk o zajištění komunitní pobytové služby (chráněného bydlení, příp. domova pro osoby se zdravotním postižením) pro osoby s mentálním/ kombinovaným postižením v návaznosti na cílovou skupinu </w:t>
            </w:r>
            <w:r>
              <w:rPr>
                <w:rFonts w:eastAsia="Calibri"/>
                <w:sz w:val="18"/>
                <w:szCs w:val="18"/>
              </w:rPr>
              <w:t>CDS Motýl.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poskytovatelů (nedostatek vhodného personálu / prostorové limity/vůle zřídit novou službu).</w:t>
            </w:r>
          </w:p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Nedostatek finančních prostředků na plánovaná opatření.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Podpořit vznik komunitní pobytové služby typu domova se zvláštním režimem</w:t>
            </w:r>
            <w:r>
              <w:rPr>
                <w:rFonts w:eastAsia="Calibri"/>
                <w:sz w:val="18"/>
                <w:szCs w:val="18"/>
              </w:rPr>
              <w:t xml:space="preserve"> pro osoby s duševním onemocněním s potřebou nižší míry podpory na cestě </w:t>
            </w:r>
            <w:r>
              <w:rPr>
                <w:rFonts w:eastAsia="Calibri"/>
                <w:sz w:val="18"/>
                <w:szCs w:val="18"/>
              </w:rPr>
              <w:lastRenderedPageBreak/>
              <w:t>k zotavení a samostatnému životu.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Veřejné mínění proti plánovaným opatřením.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Podporovat zaměstnávání OZP na otevřeném trhu práce, rozvoj IPS metody a systematické a koordinované </w:t>
            </w:r>
            <w:r>
              <w:rPr>
                <w:rFonts w:eastAsia="Calibri"/>
                <w:sz w:val="18"/>
                <w:szCs w:val="18"/>
              </w:rPr>
              <w:t>jednání se zaměstnavateli při zajišťování adekvátních pracovních příležitostí a podmínek.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zaměstnavatelů (nedostatek motivace k vytváření podmínek).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Podporovat advokační a destigmatizační aktivity v oblasti podpory OZP.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Nezájem </w:t>
            </w:r>
            <w:r>
              <w:rPr>
                <w:rFonts w:eastAsia="Calibri"/>
                <w:sz w:val="18"/>
                <w:szCs w:val="18"/>
              </w:rPr>
              <w:t>veřejnosti o destigmatizační aktivity/nevhodně zvolený formát aktivit.</w:t>
            </w:r>
          </w:p>
          <w:p w:rsidR="008149DD" w:rsidRDefault="008149DD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Malá iniciativa poskytovatelů v oblasti advokačních aktivit.</w:t>
            </w:r>
          </w:p>
        </w:tc>
      </w:tr>
      <w:tr w:rsidR="008149DD">
        <w:trPr>
          <w:trHeight w:val="20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tabs>
                <w:tab w:val="left" w:pos="100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ind w:left="57" w:right="22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 xml:space="preserve">Při zabezpečení potřeb osob s vážným duševním onemocněním využívat kapacit zdravotnických pracovníků spádového centra </w:t>
            </w:r>
            <w:r>
              <w:rPr>
                <w:rFonts w:eastAsia="Calibri"/>
                <w:color w:val="000000"/>
                <w:sz w:val="18"/>
                <w:szCs w:val="18"/>
              </w:rPr>
              <w:t>duševního zdraví (CDZ) včetně adiktologa.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poskytovatelů.</w:t>
            </w:r>
          </w:p>
        </w:tc>
      </w:tr>
      <w:tr w:rsidR="008149DD">
        <w:trPr>
          <w:trHeight w:val="680"/>
        </w:trPr>
        <w:tc>
          <w:tcPr>
            <w:tcW w:w="532" w:type="dxa"/>
            <w:vMerge w:val="restart"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EE5874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DĚTI A RODINY</w:t>
            </w: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 děti a rodiny je v regionu široká nabídka volnočasových aktivit, které přispívají k sociálnímu začlenění.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Ve všech obcích jsou dostupné terénní služby pro </w:t>
            </w:r>
            <w:r>
              <w:rPr>
                <w:rFonts w:eastAsia="Calibri"/>
                <w:sz w:val="18"/>
                <w:szCs w:val="18"/>
              </w:rPr>
              <w:t>rodiny s dětmi, které spolupracují mj. se školami, lékaři a příp. orgánem sociálně-právní ochrany dětí.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Hlinsku je dostupná pomoc klinické psycholožky pro děti  dorost, hrazená z veřejného zdravotního pojištění.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funguje azylový dům pro těhotn</w:t>
            </w:r>
            <w:r>
              <w:rPr>
                <w:rFonts w:eastAsia="Calibri"/>
                <w:sz w:val="18"/>
                <w:szCs w:val="18"/>
              </w:rPr>
              <w:t>é matky s dětmi.</w:t>
            </w:r>
          </w:p>
        </w:tc>
        <w:tc>
          <w:tcPr>
            <w:tcW w:w="4519" w:type="dxa"/>
            <w:vMerge w:val="restart"/>
            <w:tcBorders>
              <w:top w:val="nil"/>
              <w:right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Naprostá většina volnočasových aktivit probíhá v Hlinsku. Nabízené volnočasové aktivity neoslovují, anebo nejsou dostupné pro řadu dětí a mladých.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ORP Hlinsko chybí odborné sociální poradenství/krizová pomoc, která by měla odborný perso</w:t>
            </w:r>
            <w:r>
              <w:rPr>
                <w:rFonts w:eastAsia="Calibri"/>
                <w:sz w:val="18"/>
                <w:szCs w:val="18"/>
              </w:rPr>
              <w:t>nál, který se zaměřuje na vztahová témata (neshody/rozchod/výchova) a poskytuje rodině/jejím členům terapeutickou podporu.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Chybí systematičtější podpora při zavádění nástrojů k většímu zapojování dětí a rodinných příslušníků do řešení situace dětí/rodin (</w:t>
            </w:r>
            <w:r>
              <w:rPr>
                <w:rFonts w:eastAsia="Calibri"/>
                <w:sz w:val="18"/>
                <w:szCs w:val="18"/>
              </w:rPr>
              <w:t>např. individuální případové konference, rodinné konference).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není dobře dostupné nájemné bydlení pro rodiny a samoživitele.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zde malá dostupnost preventivních aktivit v oblasti  trávení času v online prostředí a kyberbezpečnosti napříč </w:t>
            </w:r>
            <w:r>
              <w:rPr>
                <w:rFonts w:eastAsia="Calibri"/>
                <w:sz w:val="18"/>
                <w:szCs w:val="18"/>
              </w:rPr>
              <w:t>věkovými skupinami (děti, rodiče, prarodiče).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Projekt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Hlinecko – region pomáhající a učící </w:t>
            </w:r>
            <w:r>
              <w:rPr>
                <w:rFonts w:eastAsia="Calibri"/>
                <w:sz w:val="18"/>
                <w:szCs w:val="18"/>
              </w:rPr>
              <w:t>zajistí podporu sociální práce na obcích – vyhledávání potřebných (včetně ohrožených rodin s dětmi), koordinované zabezpečení potřeb, vznikne studie bezbariérovost</w:t>
            </w:r>
            <w:r>
              <w:rPr>
                <w:rFonts w:eastAsia="Calibri"/>
                <w:sz w:val="18"/>
                <w:szCs w:val="18"/>
              </w:rPr>
              <w:t>i, do které budou zahrnuty i potřeby rodin s malými dětmi (včetně dětí se zdravotním postižením).  Vznikne studie dostupného bydlení, kde budou rovněž akcentovány potřeby rodin. Budou podporovány aktivity komunitního života včetně rozvoje zájmových aktivit</w:t>
            </w:r>
            <w:r>
              <w:rPr>
                <w:rFonts w:eastAsia="Calibri"/>
                <w:sz w:val="18"/>
                <w:szCs w:val="18"/>
              </w:rPr>
              <w:t xml:space="preserve"> na obcích.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návaznosti na podporu komunitního života a rozvoj zájmových aktivit na obcích podporovat preventivní aktivity v oblasti kyberbezpečnosti a trávení času v online prostředí pro všechny generace. Při rozvoji volnočasových aktivit brát ohled na </w:t>
            </w:r>
            <w:r>
              <w:rPr>
                <w:rFonts w:eastAsia="Calibri"/>
                <w:sz w:val="18"/>
                <w:szCs w:val="18"/>
              </w:rPr>
              <w:t>děti se zdravotním postižením.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Nedojde k obsazení projektových pozic.</w:t>
            </w:r>
          </w:p>
          <w:p w:rsidR="008149DD" w:rsidRDefault="008149DD">
            <w:pPr>
              <w:pStyle w:val="Bezmezer"/>
              <w:widowControl w:val="0"/>
              <w:ind w:right="227"/>
              <w:jc w:val="left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8149DD">
        <w:trPr>
          <w:trHeight w:val="68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návaznosti na zavádění koordinovaného zabezpečení potřeb podpořit participativní nástroje řešení situace (např. individuální případové konference, rodinné konference).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EE5874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Realizovat kontaktní práci s neorganizovanou mládeží v přirozeném prostředí.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Nezájem poskytovatelů/veřejnosti o participativní metody/preventivní aktivity.</w:t>
            </w:r>
          </w:p>
        </w:tc>
      </w:tr>
      <w:tr w:rsidR="008149DD">
        <w:trPr>
          <w:trHeight w:val="68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Zajistit v Hlinsku vznik detašovaného pracoviště krizového centra pro spádovou oblast Hlinecka.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  <w:sz w:val="18"/>
                <w:szCs w:val="18"/>
              </w:rPr>
            </w:pPr>
          </w:p>
          <w:p w:rsidR="008149DD" w:rsidRDefault="008149DD">
            <w:pPr>
              <w:widowControl w:val="0"/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poskytovatele krizové pomoci (strategické/finance/personál).</w:t>
            </w:r>
          </w:p>
          <w:p w:rsidR="008149DD" w:rsidRDefault="008149DD">
            <w:pPr>
              <w:pStyle w:val="Bezmezer"/>
              <w:widowControl w:val="0"/>
              <w:jc w:val="left"/>
              <w:rPr>
                <w:rFonts w:ascii="Calibri" w:eastAsia="Calibri" w:hAnsi="Calibri"/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jc w:val="left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8149DD">
        <w:trPr>
          <w:trHeight w:val="34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widowControl w:val="0"/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widowControl w:val="0"/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widowControl w:val="0"/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Zajistit působnost týmu včasné intervence pro děti v riziku rozvoje duševních obtíží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Nedostatečná kapacita na straně poskytovatele.</w:t>
            </w:r>
          </w:p>
        </w:tc>
      </w:tr>
      <w:tr w:rsidR="008149DD">
        <w:trPr>
          <w:trHeight w:val="340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Zajistit dostupnost skupinových </w:t>
            </w:r>
            <w:r>
              <w:rPr>
                <w:sz w:val="18"/>
                <w:szCs w:val="18"/>
              </w:rPr>
              <w:t>sebezkušenostních aktivit pro děti a dospívající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Neefektivní způsob informování cílové skupiny. </w:t>
            </w:r>
          </w:p>
          <w:p w:rsidR="008149DD" w:rsidRDefault="00EE5874">
            <w:pPr>
              <w:pStyle w:val="Bezmezer"/>
              <w:widowControl w:val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Překážky na straně poskytovatelů (finance/personál).</w:t>
            </w:r>
          </w:p>
        </w:tc>
      </w:tr>
      <w:tr w:rsidR="008149DD">
        <w:trPr>
          <w:trHeight w:val="649"/>
        </w:trPr>
        <w:tc>
          <w:tcPr>
            <w:tcW w:w="532" w:type="dxa"/>
            <w:vMerge w:val="restart"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EE5874">
            <w:pPr>
              <w:pStyle w:val="Bezmezer"/>
              <w:widowControl w:val="0"/>
              <w:spacing w:line="11" w:lineRule="atLeast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</w:rPr>
              <w:t>OSOBY V KRIZI/  OSOBY VÁŽNĚ OHROŽENÉ SOCIÁLNÍM VYLOUČENÍM</w:t>
            </w:r>
          </w:p>
          <w:p w:rsidR="008149DD" w:rsidRDefault="008149DD">
            <w:pPr>
              <w:pStyle w:val="Bezmezer"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3210" w:type="dxa"/>
            <w:vMerge w:val="restart"/>
            <w:tcBorders>
              <w:top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Hlinsku působí občanská poradna, která má </w:t>
            </w:r>
            <w:r>
              <w:rPr>
                <w:rFonts w:eastAsia="Calibri"/>
                <w:sz w:val="18"/>
                <w:szCs w:val="18"/>
              </w:rPr>
              <w:t>odborné sociální poradenství, které se zaměřuje na široké spektrum témat včetně dluhového poradenství. V individuálních případech je možné zajistit ze strany dalšího poskytovatele dluhové poradenství včetně přípravy na insolvenci v přirozeném prostředí. Ve</w:t>
            </w:r>
            <w:r>
              <w:rPr>
                <w:rFonts w:eastAsia="Calibri"/>
                <w:sz w:val="18"/>
                <w:szCs w:val="18"/>
              </w:rPr>
              <w:t>lké spektrum pomoci pro tuto cílovou skupinu zajišťuje hlinecký odbor sociálních věcí ve spolupráci s místním úřadem práce.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Ve městě má kontaktní místo a po dohodě dojíždí intervenční centrum pro oběti domácího násilí.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Hlinsku (MÚ), v Rané (Komunitní </w:t>
            </w:r>
            <w:r>
              <w:rPr>
                <w:rFonts w:eastAsia="Calibri"/>
                <w:sz w:val="18"/>
                <w:szCs w:val="18"/>
              </w:rPr>
              <w:t>centrum), a v ORP v rámci činnosti sociálně-aktivizačních služeb pro rodiny s dětmi (OCH Nové Hrady u Skutče) je zajištěna potravinová pomoc.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Hlinsku funguje výměnný program pro uživatele drog včetně monitoringu scény.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území ORP je dostupná telefonick</w:t>
            </w:r>
            <w:r>
              <w:rPr>
                <w:rFonts w:eastAsia="Calibri"/>
                <w:sz w:val="18"/>
                <w:szCs w:val="18"/>
              </w:rPr>
              <w:t>á krizová pomoc (krajská-placená) i nadregionální (bezplatná).</w:t>
            </w: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Zadluženost v území z hlediska podílu obyvatel v exekuci patří mezi nejnižší v rámci Pardubického kraje i ČR. Kriminalita v území patří mezi nejnižší v rámci Pardubického kraje i ČR.</w:t>
            </w: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 w:val="restart"/>
            <w:tcBorders>
              <w:top w:val="nil"/>
              <w:right w:val="nil"/>
            </w:tcBorders>
            <w:shd w:val="clear" w:color="auto" w:fill="7FFFD4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</w:t>
            </w:r>
            <w:r>
              <w:rPr>
                <w:rFonts w:eastAsia="Calibri"/>
                <w:sz w:val="18"/>
                <w:szCs w:val="18"/>
              </w:rPr>
              <w:t>ionu není dostupná obecná krizová pomoc (nejbližší v Chrudimi/Svitavách) a psychosociální podpora.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není dostupné krizové lůžko pro jednotlivce/rodiny.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není dostupný  veřejný hygienický servis pro osoby v krizi/bez domova.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n</w:t>
            </w:r>
            <w:r>
              <w:rPr>
                <w:rFonts w:eastAsia="Calibri"/>
                <w:sz w:val="18"/>
                <w:szCs w:val="18"/>
              </w:rPr>
              <w:t>ení dostupný sociální šatník (nejbližší v Chrudimi).</w:t>
            </w:r>
          </w:p>
          <w:p w:rsidR="008149DD" w:rsidRDefault="008149DD">
            <w:pPr>
              <w:pStyle w:val="Bezmezer"/>
              <w:widowControl w:val="0"/>
              <w:rPr>
                <w:rFonts w:ascii="Calibri" w:eastAsia="Calibri" w:hAnsi="Calibri"/>
              </w:rPr>
            </w:pPr>
          </w:p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 regionu není  dobře dostupné nájemní bydlení pro nízkopříjmové skupiny osob.</w:t>
            </w: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Zajistit v Hlinsku vznik detašovaného pracoviště krizového centra pro spádovou oblast Hlinecka.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Překážky na straně poskytov</w:t>
            </w:r>
            <w:r>
              <w:rPr>
                <w:rFonts w:eastAsia="Calibri"/>
                <w:sz w:val="18"/>
                <w:szCs w:val="18"/>
              </w:rPr>
              <w:t>atele krizové pomoci (strategické/finance/personál).</w:t>
            </w:r>
          </w:p>
        </w:tc>
      </w:tr>
      <w:tr w:rsidR="008149DD">
        <w:trPr>
          <w:trHeight w:val="649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Zajistit (krátkodobé) krizové lůžko/jednotku pro jednotlivce / rodiny, které se pro náhlou ztrátu bydlení ocitnou v krizové situaci.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Překážky na straně samospráv/ poskytovatelů (vhodný prostor/vůle </w:t>
            </w:r>
            <w:r>
              <w:rPr>
                <w:rFonts w:eastAsia="Calibri"/>
                <w:sz w:val="18"/>
                <w:szCs w:val="18"/>
              </w:rPr>
              <w:t>zřídit krizové lůžko).</w:t>
            </w:r>
          </w:p>
        </w:tc>
      </w:tr>
      <w:tr w:rsidR="008149DD">
        <w:trPr>
          <w:trHeight w:val="649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Zajistit krizový hygienický servis v návaznosti na některé z veřejných WC v Hlinsku. Možné záměr kombinovat  s veřejnou sprchou pro cyklisty/turisty.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ind w:left="57" w:right="227"/>
              <w:jc w:val="left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Překážky na straně samosprávy při zajištění hygienického servisu (finance / </w:t>
            </w:r>
            <w:r>
              <w:rPr>
                <w:rFonts w:eastAsia="Calibri"/>
                <w:sz w:val="18"/>
                <w:szCs w:val="18"/>
              </w:rPr>
              <w:t>jiné strategické plány).</w:t>
            </w:r>
          </w:p>
        </w:tc>
      </w:tr>
      <w:tr w:rsidR="008149DD">
        <w:trPr>
          <w:trHeight w:val="649"/>
        </w:trPr>
        <w:tc>
          <w:tcPr>
            <w:tcW w:w="532" w:type="dxa"/>
            <w:vMerge/>
            <w:tcBorders>
              <w:top w:val="nil"/>
              <w:right w:val="nil"/>
            </w:tcBorders>
            <w:shd w:val="clear" w:color="auto" w:fill="00FFFF"/>
            <w:textDirection w:val="btLr"/>
            <w:vAlign w:val="center"/>
          </w:tcPr>
          <w:p w:rsidR="008149DD" w:rsidRDefault="008149DD">
            <w:pPr>
              <w:pStyle w:val="Bezmezer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519" w:type="dxa"/>
            <w:vMerge/>
            <w:tcBorders>
              <w:top w:val="nil"/>
              <w:right w:val="nil"/>
            </w:tcBorders>
            <w:shd w:val="clear" w:color="auto" w:fill="7FFFD4"/>
          </w:tcPr>
          <w:p w:rsidR="008149DD" w:rsidRDefault="008149DD">
            <w:pPr>
              <w:pStyle w:val="Bezmezer"/>
              <w:widowControl w:val="0"/>
              <w:rPr>
                <w:sz w:val="18"/>
                <w:szCs w:val="18"/>
              </w:rPr>
            </w:pPr>
          </w:p>
        </w:tc>
        <w:tc>
          <w:tcPr>
            <w:tcW w:w="4144" w:type="dxa"/>
            <w:tcBorders>
              <w:top w:val="nil"/>
              <w:right w:val="nil"/>
            </w:tcBorders>
            <w:shd w:val="clear" w:color="auto" w:fill="E0FFFF"/>
          </w:tcPr>
          <w:p w:rsidR="008149DD" w:rsidRDefault="00EE5874">
            <w:pPr>
              <w:pStyle w:val="Bezmezer"/>
              <w:widowControl w:val="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V rámci projektu </w:t>
            </w:r>
            <w:r>
              <w:rPr>
                <w:rFonts w:eastAsia="Calibri"/>
                <w:i/>
                <w:iCs/>
                <w:sz w:val="18"/>
                <w:szCs w:val="18"/>
              </w:rPr>
              <w:t xml:space="preserve">Hlinecko – region pomáhající a učící </w:t>
            </w:r>
            <w:r>
              <w:rPr>
                <w:rFonts w:eastAsia="Calibri"/>
                <w:sz w:val="18"/>
                <w:szCs w:val="18"/>
              </w:rPr>
              <w:t>vznikne studie dostupného bydlení.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E0FFFF"/>
          </w:tcPr>
          <w:p w:rsidR="008149DD" w:rsidRDefault="008149DD">
            <w:pPr>
              <w:pStyle w:val="Bezmezer"/>
              <w:widowControl w:val="0"/>
              <w:jc w:val="left"/>
              <w:rPr>
                <w:rFonts w:ascii="Calibri" w:eastAsia="Calibri" w:hAnsi="Calibri"/>
              </w:rPr>
            </w:pPr>
          </w:p>
        </w:tc>
      </w:tr>
    </w:tbl>
    <w:p w:rsidR="008149DD" w:rsidRDefault="008149DD">
      <w:pPr>
        <w:sectPr w:rsidR="008149DD">
          <w:headerReference w:type="default" r:id="rId12"/>
          <w:footerReference w:type="default" r:id="rId13"/>
          <w:pgSz w:w="16838" w:h="11906" w:orient="landscape"/>
          <w:pgMar w:top="800" w:right="848" w:bottom="656" w:left="1275" w:header="680" w:footer="293" w:gutter="0"/>
          <w:pgNumType w:start="1"/>
          <w:cols w:space="708"/>
          <w:formProt w:val="0"/>
          <w:docGrid w:linePitch="360" w:charSpace="4096"/>
        </w:sectPr>
      </w:pPr>
    </w:p>
    <w:p w:rsidR="008149DD" w:rsidRDefault="00EE5874">
      <w:pPr>
        <w:pStyle w:val="Nadpis1"/>
        <w:rPr>
          <w:rFonts w:ascii="Calibri" w:hAnsi="Calibri"/>
        </w:rPr>
      </w:pPr>
      <w:bookmarkStart w:id="24" w:name="__RefHeading___Toc5892_3491215576"/>
      <w:bookmarkEnd w:id="24"/>
      <w:r>
        <w:rPr>
          <w:rFonts w:ascii="Calibri" w:hAnsi="Calibri"/>
        </w:rPr>
        <w:lastRenderedPageBreak/>
        <w:t xml:space="preserve">Návrhová část: cíle a opatření </w:t>
      </w:r>
      <w:r>
        <w:rPr>
          <w:rFonts w:ascii="Calibri" w:hAnsi="Calibri"/>
        </w:rPr>
        <w:t>v prioritních oblastech</w:t>
      </w:r>
    </w:p>
    <w:p w:rsidR="008149DD" w:rsidRDefault="00EE5874">
      <w:r>
        <w:t>Návrhová část vychází z aktuálních potřeb v sociální oblasti, které byly popsány v analytické části. Staví na zjišťování potřeb v průběhu minulého plánovacího  období ve spolupráci s dalšími aktéry a vyhodnocení opatření předchozího</w:t>
      </w:r>
      <w:r>
        <w:t xml:space="preserve"> střednědobého plánu. Změnou oproti předešlému období je vyčlenění samostatné prioritní oblasti komunitního plánování – cílové skupiny „rodinní pečující“. To proto, že dostupné údaje podpořené výzkumy poukazují na skutečnost, že lidé, kteří dlouhodobě peču</w:t>
      </w:r>
      <w:r>
        <w:t>jí o své blízké bez podpory okolí / služeb, jsou sami výrazně ohroženi sociálním vyloučením a jimi poskytovaná péče se odráží negativně na jejich fyzickém i duševním zdraví. Jak je patrné z analytické části, nejvíce potřeb bylo zaznamenáno v prioritní obla</w:t>
      </w:r>
      <w:r>
        <w:t xml:space="preserve">sti „senioři a osoby se zdravotním postižením“. Je tomu z mnoha důvodů – nejen široce definovanou prioritní oblastí, ale např. i narůstající populační skupinou a úsilím zabezpečit potřeby v přirozeném prostředí přímo v místní komunitě. </w:t>
      </w:r>
    </w:p>
    <w:p w:rsidR="008149DD" w:rsidRDefault="00EE5874">
      <w:r>
        <w:rPr>
          <w:b/>
          <w:bCs/>
        </w:rPr>
        <w:t>MAS Hlinecko s měst</w:t>
      </w:r>
      <w:r>
        <w:rPr>
          <w:b/>
          <w:bCs/>
        </w:rPr>
        <w:t xml:space="preserve">em Hlinsko jako partnerem reagovaly na aktuální potřeby v sociální oblasti projektem </w:t>
      </w:r>
      <w:r>
        <w:rPr>
          <w:b/>
          <w:bCs/>
          <w:i/>
          <w:iCs/>
        </w:rPr>
        <w:t>Hlinecko – region pomáhající</w:t>
      </w:r>
      <w:r>
        <w:rPr>
          <w:b/>
          <w:bCs/>
        </w:rPr>
        <w:t xml:space="preserve"> a učící v rámci výzvy OPZ+ Podpora komunitně vedeného místního rozvoje.</w:t>
      </w:r>
      <w:r>
        <w:t xml:space="preserve"> Díky tomu se mj. podaří zajistit i naplnění některých opatření z minulého plánovacího období, které nebylo možno především z finančních a personálních důvodů zabezpečit (studie bezbariérovosti, studie dostupného bydlení aj.).</w:t>
      </w:r>
    </w:p>
    <w:p w:rsidR="008149DD" w:rsidRDefault="008149DD">
      <w:pPr>
        <w:rPr>
          <w:rFonts w:ascii="Calibri" w:hAnsi="Calibri"/>
        </w:rPr>
      </w:pPr>
    </w:p>
    <w:p w:rsidR="008149DD" w:rsidRDefault="00EE5874">
      <w:pPr>
        <w:rPr>
          <w:rFonts w:ascii="Calibri" w:hAnsi="Calibri"/>
          <w:b/>
          <w:bCs/>
        </w:rPr>
      </w:pPr>
      <w:r>
        <w:rPr>
          <w:b/>
          <w:bCs/>
        </w:rPr>
        <w:t>Prioritní oblasti (PO):</w:t>
      </w:r>
    </w:p>
    <w:tbl>
      <w:tblPr>
        <w:tblW w:w="73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"/>
        <w:gridCol w:w="6407"/>
      </w:tblGrid>
      <w:tr w:rsidR="008149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2E4E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PO1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2E4E"/>
          </w:tcPr>
          <w:p w:rsidR="008149DD" w:rsidRDefault="00EE5874">
            <w:pPr>
              <w:widowControl w:val="0"/>
              <w:spacing w:after="0" w:line="0" w:lineRule="atLeast"/>
              <w:ind w:left="720"/>
            </w:pPr>
            <w:r>
              <w:rPr>
                <w:b/>
                <w:bCs/>
              </w:rPr>
              <w:t>procesní a průřezové cíle</w:t>
            </w:r>
          </w:p>
        </w:tc>
      </w:tr>
      <w:tr w:rsidR="008149DD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PO2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  <w:ind w:left="720"/>
            </w:pPr>
            <w:r>
              <w:rPr>
                <w:b/>
                <w:bCs/>
              </w:rPr>
              <w:t>rodinní pečující</w:t>
            </w:r>
          </w:p>
        </w:tc>
      </w:tr>
      <w:tr w:rsidR="008149DD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PO3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  <w:ind w:left="720"/>
            </w:pPr>
            <w:r>
              <w:rPr>
                <w:b/>
                <w:bCs/>
              </w:rPr>
              <w:t>senioři a osoby se zdravotním postižením</w:t>
            </w:r>
          </w:p>
        </w:tc>
      </w:tr>
      <w:tr w:rsidR="008149DD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PO4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  <w:ind w:left="720"/>
            </w:pPr>
            <w:r>
              <w:rPr>
                <w:b/>
                <w:bCs/>
              </w:rPr>
              <w:t>děti a rodiny</w:t>
            </w:r>
          </w:p>
        </w:tc>
      </w:tr>
      <w:tr w:rsidR="008149DD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PO5</w:t>
            </w:r>
          </w:p>
        </w:tc>
        <w:tc>
          <w:tcPr>
            <w:tcW w:w="6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</w:tcPr>
          <w:p w:rsidR="008149DD" w:rsidRDefault="00EE5874">
            <w:pPr>
              <w:widowControl w:val="0"/>
              <w:spacing w:after="0" w:line="0" w:lineRule="atLeast"/>
              <w:ind w:left="720"/>
            </w:pPr>
            <w:r>
              <w:rPr>
                <w:b/>
                <w:bCs/>
              </w:rPr>
              <w:t>osoby v krizi / osoby vážně ohrožené sociálním vyloučením</w:t>
            </w:r>
          </w:p>
        </w:tc>
      </w:tr>
    </w:tbl>
    <w:p w:rsidR="008149DD" w:rsidRDefault="008149DD">
      <w:pPr>
        <w:rPr>
          <w:rFonts w:ascii="Calibri" w:hAnsi="Calibri"/>
        </w:rPr>
      </w:pPr>
    </w:p>
    <w:p w:rsidR="008149DD" w:rsidRDefault="00EE5874">
      <w:pPr>
        <w:pStyle w:val="Nadpis2"/>
        <w:rPr>
          <w:rFonts w:ascii="Calibri" w:hAnsi="Calibri"/>
          <w:sz w:val="28"/>
          <w:szCs w:val="28"/>
        </w:rPr>
      </w:pPr>
      <w:bookmarkStart w:id="25" w:name="__RefHeading___Toc5894_3491215576"/>
      <w:bookmarkEnd w:id="25"/>
      <w:r>
        <w:rPr>
          <w:rFonts w:ascii="Calibri" w:hAnsi="Calibri"/>
          <w:sz w:val="28"/>
          <w:szCs w:val="28"/>
        </w:rPr>
        <w:t>PO1 - Procesní a průřezová témata</w:t>
      </w:r>
      <w:bookmarkStart w:id="26" w:name="_Toc198634011"/>
      <w:r>
        <w:rPr>
          <w:rFonts w:ascii="Calibri" w:hAnsi="Calibri"/>
          <w:sz w:val="28"/>
          <w:szCs w:val="28"/>
        </w:rPr>
        <w:t xml:space="preserve"> pro všechny cílové skupi</w:t>
      </w:r>
      <w:bookmarkEnd w:id="26"/>
      <w:r>
        <w:rPr>
          <w:rFonts w:ascii="Calibri" w:hAnsi="Calibri"/>
          <w:sz w:val="28"/>
          <w:szCs w:val="28"/>
        </w:rPr>
        <w:t>ny</w:t>
      </w:r>
    </w:p>
    <w:p w:rsidR="008149DD" w:rsidRDefault="00EE5874">
      <w:r>
        <w:t xml:space="preserve">V oblasti </w:t>
      </w:r>
      <w:r>
        <w:t>procesních průřezových cílů jsou uvedena témata důležitá pro řízení procesu komunitního plánování a všechny cílové skupiny (koordinace, zapojení samospráv, informovanost, spolupráce, financování, dobrovolnictví, poradenství NNO, bezbariérovost, bydlení).</w:t>
      </w:r>
    </w:p>
    <w:tbl>
      <w:tblPr>
        <w:tblW w:w="146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85"/>
      </w:tblGrid>
      <w:tr w:rsidR="008149DD">
        <w:tc>
          <w:tcPr>
            <w:tcW w:w="1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</w:rPr>
              <w:t>C</w:t>
            </w:r>
            <w:r>
              <w:rPr>
                <w:b/>
              </w:rPr>
              <w:t>íl 1 Udržet a dále rozvíjet síť sociálních služeb a souvisejících aktivit na základě zjištěné potřebnosti</w:t>
            </w:r>
          </w:p>
        </w:tc>
      </w:tr>
      <w:tr w:rsidR="008149DD">
        <w:tc>
          <w:tcPr>
            <w:tcW w:w="1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</w:rPr>
              <w:t>Cíl 2 Zlepšit bezbariérovou dostupnost sociálních služeb, veřejných budov a veřejných prostranství</w:t>
            </w:r>
          </w:p>
        </w:tc>
      </w:tr>
      <w:tr w:rsidR="008149DD">
        <w:tc>
          <w:tcPr>
            <w:tcW w:w="14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</w:rPr>
              <w:t xml:space="preserve">Cíl 3 Zvýšit dostupnost a nabídky vhodného </w:t>
            </w:r>
            <w:r>
              <w:rPr>
                <w:b/>
              </w:rPr>
              <w:t>bydlení.</w:t>
            </w:r>
          </w:p>
        </w:tc>
      </w:tr>
    </w:tbl>
    <w:p w:rsidR="008149DD" w:rsidRDefault="008149DD">
      <w:pPr>
        <w:rPr>
          <w:rFonts w:eastAsia="Calibri"/>
          <w:b/>
        </w:rPr>
      </w:pPr>
    </w:p>
    <w:p w:rsidR="008149DD" w:rsidRDefault="008149DD">
      <w:pPr>
        <w:rPr>
          <w:rFonts w:eastAsia="Calibri"/>
          <w:b/>
        </w:rPr>
      </w:pPr>
    </w:p>
    <w:tbl>
      <w:tblPr>
        <w:tblW w:w="14620" w:type="dxa"/>
        <w:tblInd w:w="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6"/>
        <w:gridCol w:w="13135"/>
      </w:tblGrid>
      <w:tr w:rsidR="008149DD">
        <w:trPr>
          <w:trHeight w:val="465"/>
        </w:trPr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2E4E"/>
            <w:vAlign w:val="bottom"/>
          </w:tcPr>
          <w:p w:rsidR="008149DD" w:rsidRDefault="00EE5874">
            <w:pPr>
              <w:pStyle w:val="Bezmezer"/>
              <w:widowControl w:val="0"/>
              <w:jc w:val="left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lastRenderedPageBreak/>
              <w:t>PO1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2E4E"/>
            <w:vAlign w:val="bottom"/>
          </w:tcPr>
          <w:p w:rsidR="008149DD" w:rsidRDefault="00EE5874">
            <w:pPr>
              <w:pStyle w:val="Bezmezer"/>
              <w:widowControl w:val="0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Procesní a </w:t>
            </w:r>
            <w:bookmarkStart w:id="27" w:name="_Toc14859243"/>
            <w:bookmarkStart w:id="28" w:name="_Toc10803290"/>
            <w:bookmarkStart w:id="29" w:name="_Toc2844807"/>
            <w:bookmarkStart w:id="30" w:name="_Toc856792"/>
            <w:bookmarkStart w:id="31" w:name="_Toc855525"/>
            <w:r>
              <w:rPr>
                <w:b/>
                <w:color w:val="FFFFFF"/>
                <w:sz w:val="40"/>
                <w:szCs w:val="40"/>
              </w:rPr>
              <w:t>průřezové cíle</w:t>
            </w:r>
            <w:bookmarkEnd w:id="27"/>
            <w:bookmarkEnd w:id="28"/>
            <w:bookmarkEnd w:id="29"/>
            <w:bookmarkEnd w:id="30"/>
            <w:bookmarkEnd w:id="31"/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pStyle w:val="Bezmezer"/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Cíl 1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pStyle w:val="Bezmezer"/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Udržet a dále rozvíjet síť sociálních služeb a souvisejících aktivit na základě zjištěné potřebnosti</w:t>
            </w:r>
          </w:p>
        </w:tc>
      </w:tr>
      <w:tr w:rsidR="008149DD">
        <w:trPr>
          <w:trHeight w:val="85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 cíle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Sociální služby a související aktivity jsou pro mnohé z nás významnou oporou ve složitých</w:t>
            </w:r>
            <w:r>
              <w:t xml:space="preserve"> životních situacích. Umožňují nám naplnit naše potřeby. Poskytují nám pomoc, pokud nejsme schopni zvládnout situaci sami či s pomocí nejbližšího okolí. Musí být proto pro každého, kdo je potřebuje. V opačném případě mu hrozí riziko neuspokojení základních</w:t>
            </w:r>
            <w:r>
              <w:t xml:space="preserve"> životních potřeb / sociální vyloučení.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1.1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Udržet stávající kapacitu sociálních služeb a souvisejících aktivit. Zvýšit jejich dostupnost a kvalitu. Podpořit jejich rozvoj.</w:t>
            </w:r>
          </w:p>
        </w:tc>
      </w:tr>
      <w:tr w:rsidR="008149DD">
        <w:trPr>
          <w:trHeight w:val="17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V území máme služby odborného poradenství, preventivní </w:t>
            </w:r>
            <w:r>
              <w:t>služby i služby péče, které podporují základní soběstačnost. Většina služeb působí v terénu (zejm. v domácnosti). Jiné fungují jako centra/poradny (ambulantně). Minimum služeb je pobytových (po určitou dobu jsou zároveň i bydlištěm). Kromě sociálních služe</w:t>
            </w:r>
            <w:r>
              <w:t>b působí v území i související zdravotní či školské služby a další aktivity podporující vzájemnost, svépomoc a vzdělávání. Vedou k sociálnímu začlenění nebo prostě ke zlepšení kvality života.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Jsou-li tyto služby a aktivity využívané, chceme je zachovat.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Je</w:t>
            </w:r>
            <w:r>
              <w:t>-li o ně větší zájem než mohou nabídnout, chceme jejich kapacitu navýšit.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Nemohou-li svou kapacitu navýšit, strategicky poptáváme dalšího poskytovatele.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Nejsou-li efektivně využívané, chceme, aby změnily své zaměření – službu přizpůsobily potřebám v území.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Chybí-li některý druh/forma služby v území zcela, vyjednáváme její vznik/rozšíření působnosti do našeho území.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5"/>
              </w:numPr>
            </w:pPr>
            <w:r>
              <w:t>Chceme služby registrované, primárně ty, které jsou začleněné do krajské sítě služeb, efektivní, poskytující péči podle standardů kvality, hájíc</w:t>
            </w:r>
            <w:r>
              <w:t>í aktivně práva skupin osob, kterým pomáhají, služby spolupracující s místními partnery na zajištění koordinované pomoci svým uživatelům, služby otevřené pravidelné kontrole.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</w:pPr>
            <w:r>
              <w:t>Dostupnost a kvalita služeb a aktivit pro všechny cílové</w:t>
            </w:r>
            <w:r>
              <w:t xml:space="preserve"> skupiny.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– 2025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Koordinátor KPSS / obce ORP / PK / poskytovatelé SS/SA</w:t>
            </w:r>
          </w:p>
        </w:tc>
      </w:tr>
      <w:tr w:rsidR="008149DD">
        <w:trPr>
          <w:trHeight w:val="1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a obce území ORP – příspěvky zřizovatele na provoz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– příspěvky poskytovatelům SS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Pardubický kraj – </w:t>
            </w:r>
            <w:r>
              <w:t>provozní dotace, individuální projekty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MPSV ČR, MV ČR, ESF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Uživatelé – úhrady za služby</w:t>
            </w:r>
          </w:p>
        </w:tc>
      </w:tr>
      <w:tr w:rsidR="008149DD">
        <w:trPr>
          <w:trHeight w:val="1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finančních prostředků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Nedostatečná spolupráce místních samospráv a poskytovatelů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1.2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Zajistit proces komunitního plánování </w:t>
            </w:r>
            <w:r>
              <w:rPr>
                <w:b/>
                <w:bCs/>
              </w:rPr>
              <w:t>sociálních služeb. Realizovat platný komunitní plán.</w:t>
            </w:r>
          </w:p>
        </w:tc>
      </w:tr>
      <w:tr w:rsidR="008149DD">
        <w:trPr>
          <w:trHeight w:val="34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Komunitní plánování je dialogem o potřebách občanů a dostupné pomoci sociálních služeb a souvisejících aktivit v území.  Účastní se ho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6"/>
              </w:numPr>
            </w:pPr>
            <w:r>
              <w:t>zadavatelé – občané (vedení obcí, veřejnost),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6"/>
              </w:numPr>
            </w:pPr>
            <w:r>
              <w:t>poskytovatelé (sociálních služeb/souvisejících aktivit),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6"/>
              </w:numPr>
            </w:pPr>
            <w:r>
              <w:t>a uživatelé služeb (jednotlivci, členové svépomocných skupin/zájmových organizací, rodinní příslušníci).</w:t>
            </w:r>
          </w:p>
          <w:p w:rsidR="008149DD" w:rsidRDefault="00EE5874">
            <w:pPr>
              <w:pStyle w:val="Bezmezer"/>
              <w:widowControl w:val="0"/>
            </w:pPr>
            <w:r>
              <w:t>Cíle a potřebná opatření v prioritních oblastech jsou zaznamenána v komunitním plánu, který se</w:t>
            </w:r>
            <w:r>
              <w:t xml:space="preserve"> v pravidelných intervalech vyhodnocuje a aktualizuje. Plnění plánu koordinuje koordinátor, jehož pracovní úvazek spolufinancují obce z území.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Dopad na cílové skupiny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Prevence sociálního vyloučení ohrožených skupin v obcích</w:t>
            </w:r>
          </w:p>
          <w:p w:rsidR="008149DD" w:rsidRDefault="00EE5874">
            <w:pPr>
              <w:widowControl w:val="0"/>
              <w:spacing w:after="0" w:line="240" w:lineRule="auto"/>
            </w:pPr>
            <w:r>
              <w:t xml:space="preserve">Zapojení veřejnosti do tvorby </w:t>
            </w:r>
            <w:r>
              <w:t>sítě služeb</w:t>
            </w:r>
          </w:p>
          <w:p w:rsidR="008149DD" w:rsidRDefault="00EE5874">
            <w:pPr>
              <w:widowControl w:val="0"/>
              <w:spacing w:after="0" w:line="240" w:lineRule="auto"/>
            </w:pPr>
            <w:r>
              <w:t>Mapování potřeb a jejich řešení</w:t>
            </w:r>
          </w:p>
          <w:p w:rsidR="008149DD" w:rsidRDefault="00EE5874">
            <w:pPr>
              <w:pStyle w:val="Bezmezer"/>
              <w:widowControl w:val="0"/>
            </w:pPr>
            <w:r>
              <w:t>Zvýšení zájmu o potřeby občanů a sociální problematiku obecně</w:t>
            </w:r>
          </w:p>
          <w:p w:rsidR="008149DD" w:rsidRDefault="00EE5874">
            <w:pPr>
              <w:pStyle w:val="Bezmezer"/>
              <w:widowControl w:val="0"/>
            </w:pPr>
            <w:r>
              <w:t>Podpora činnosti obcemi vybraných zástupců pro sociální věci</w:t>
            </w:r>
          </w:p>
          <w:p w:rsidR="008149DD" w:rsidRDefault="00EE5874">
            <w:pPr>
              <w:pStyle w:val="Bezmezer"/>
              <w:widowControl w:val="0"/>
            </w:pPr>
            <w:r>
              <w:t>Aktivizace cílových skupin a občanů ochotných se zapojit</w:t>
            </w:r>
          </w:p>
          <w:p w:rsidR="008149DD" w:rsidRDefault="00EE5874">
            <w:pPr>
              <w:pStyle w:val="Bezmezer"/>
              <w:widowControl w:val="0"/>
            </w:pPr>
            <w:r>
              <w:t>Zlepšení spolupráce poskytovatel</w:t>
            </w:r>
            <w:r>
              <w:t>ů služeb a souvisejících aktivit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/ koordinátor KPSS / poskytovatelé SS/SA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ve stávajících kapacitách,</w:t>
            </w:r>
          </w:p>
          <w:p w:rsidR="008149DD" w:rsidRDefault="00EE5874">
            <w:pPr>
              <w:pStyle w:val="Bezmezer"/>
              <w:widowControl w:val="0"/>
            </w:pPr>
            <w:r>
              <w:t xml:space="preserve">OPZ+ </w:t>
            </w:r>
            <w:r>
              <w:rPr>
                <w:i/>
                <w:iCs/>
              </w:rPr>
              <w:t>Hlinecko – region pomáhající a učící</w:t>
            </w:r>
            <w:r>
              <w:t xml:space="preserve"> - terénní sociální pracovník (zintenzivnění komunikace s vedením obcí, zástupci obcí pro sociální věci)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zapojených obcí do komunitního plánování / financování koordinátora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Plnění cílů/opatření.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Nedostatečná </w:t>
            </w:r>
            <w:r>
              <w:t>spolupráce obcí a poskytovatelů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Špatná koordinace procesu KPSS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cente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Opatření 1.3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Zabezpečit společné financování sociálních služeb a souvisejících aktivit v území ORP Hlinsko.</w:t>
            </w:r>
          </w:p>
        </w:tc>
      </w:tr>
      <w:tr w:rsidR="008149DD">
        <w:trPr>
          <w:trHeight w:val="699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</w:pPr>
            <w:r>
              <w:t xml:space="preserve">V rámci vícezdrojového financování podpořit činnost místně potřebných sociálních služeb a souvisejících aktivit. Ve vztahu k §35 zákona o obcích zajistit větší participaci samospráv na zabezpečování potřeb občanů. </w:t>
            </w:r>
          </w:p>
          <w:p w:rsidR="008149DD" w:rsidRDefault="00EE587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Ve spolupráci s vedením obcí nastavit efe</w:t>
            </w:r>
            <w:r>
              <w:t xml:space="preserve">ktivní a transparentní proces administrace, informovanosti a rozdělování peněz. </w:t>
            </w:r>
          </w:p>
          <w:p w:rsidR="008149DD" w:rsidRDefault="00EE587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>Vznikne společný dotační program pro poskytovatele sociálních služeb a souvisejících aktivit.</w:t>
            </w:r>
          </w:p>
          <w:p w:rsidR="008149DD" w:rsidRDefault="00EE5874">
            <w:pPr>
              <w:widowControl w:val="0"/>
              <w:numPr>
                <w:ilvl w:val="0"/>
                <w:numId w:val="8"/>
              </w:numPr>
              <w:spacing w:after="0" w:line="240" w:lineRule="auto"/>
            </w:pPr>
            <w:r>
              <w:t xml:space="preserve">Součástí procesu bude i společná prezentace činnosti žadatele před zástupci obcí </w:t>
            </w:r>
            <w:r>
              <w:t>s možnou účastí veřejnosti.</w:t>
            </w:r>
          </w:p>
        </w:tc>
      </w:tr>
      <w:tr w:rsidR="008149DD">
        <w:trPr>
          <w:trHeight w:val="699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Cílená a zvýšená finanční podpora regionálně působících poskytovatelů služeb.</w:t>
            </w:r>
          </w:p>
          <w:p w:rsidR="008149DD" w:rsidRDefault="00EE5874">
            <w:pPr>
              <w:pStyle w:val="Bezmezer"/>
              <w:widowControl w:val="0"/>
            </w:pPr>
            <w:r>
              <w:t>Spravedlivější rozložení nákladů mezi město Hlinsko a další obce.</w:t>
            </w:r>
          </w:p>
          <w:p w:rsidR="008149DD" w:rsidRDefault="00EE5874">
            <w:pPr>
              <w:pStyle w:val="Bezmezer"/>
              <w:widowControl w:val="0"/>
            </w:pPr>
            <w:r>
              <w:t>Zvýšení povědomí vedení obcí o poskytovaných službách.</w:t>
            </w:r>
          </w:p>
        </w:tc>
      </w:tr>
      <w:tr w:rsidR="008149DD">
        <w:trPr>
          <w:trHeight w:val="417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/  město Hlinsko / poskytovatelé SS</w:t>
            </w:r>
          </w:p>
        </w:tc>
      </w:tr>
      <w:tr w:rsidR="008149DD">
        <w:trPr>
          <w:trHeight w:val="450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Rozpočty obcí v území</w:t>
            </w:r>
          </w:p>
        </w:tc>
      </w:tr>
      <w:tr w:rsidR="008149DD">
        <w:trPr>
          <w:trHeight w:val="310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zapojených obcí</w:t>
            </w:r>
          </w:p>
        </w:tc>
      </w:tr>
      <w:tr w:rsidR="008149DD">
        <w:trPr>
          <w:trHeight w:val="327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Rozpočet dotačního programu.</w:t>
            </w:r>
          </w:p>
        </w:tc>
      </w:tr>
      <w:tr w:rsidR="008149DD">
        <w:trPr>
          <w:trHeight w:val="285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Nedostatečná podpora ze strany obcí</w:t>
            </w:r>
          </w:p>
        </w:tc>
      </w:tr>
      <w:tr w:rsidR="008149DD">
        <w:trPr>
          <w:trHeight w:val="285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finančních prostředků</w:t>
            </w:r>
          </w:p>
        </w:tc>
      </w:tr>
      <w:tr w:rsidR="008149DD">
        <w:trPr>
          <w:trHeight w:val="285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Nedostatečná podpora ze strany poskytovatelů služeb</w:t>
            </w:r>
          </w:p>
        </w:tc>
      </w:tr>
      <w:tr w:rsidR="008149DD">
        <w:trPr>
          <w:trHeight w:val="27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rPr>
                <w:b/>
                <w:bCs/>
              </w:rPr>
              <w:t>Opatření 1.4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rPr>
                <w:b/>
                <w:bCs/>
              </w:rPr>
              <w:t>Prohlubovat informovanost o sociálních službách a souvisejících aktivitách</w:t>
            </w:r>
          </w:p>
        </w:tc>
      </w:tr>
      <w:tr w:rsidR="008149DD">
        <w:trPr>
          <w:trHeight w:val="699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Popis opatření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Zvýšení dostupnosti služeb souvisí i s prohlubováním informovanosti veřejnosti o jejich činnosti. V rámci projektu </w:t>
            </w:r>
            <w:r>
              <w:rPr>
                <w:i/>
                <w:iCs/>
              </w:rPr>
              <w:t>Hlinecko – region pomáhající a učící</w:t>
            </w:r>
            <w:r>
              <w:t xml:space="preserve"> dojde k rozvoji sociální práce na obcích a cílenému informování veřejnosti a potřebných o dostupných slu</w:t>
            </w:r>
            <w:r>
              <w:t>žbách.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9"/>
              </w:numPr>
            </w:pPr>
            <w:r>
              <w:t>Pravidelně min. 1x ročně bude aktualizován online katalog sociálních služeb a souvisejících aktivit.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9"/>
              </w:numPr>
            </w:pPr>
            <w:r>
              <w:t>Alespoň 1x se uskuteční společné osobní setkání zástupců samospráv s poskytovateli služeb (např. ve formátu konverzačních stolů).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9"/>
              </w:numPr>
            </w:pPr>
            <w:r>
              <w:t xml:space="preserve">Alespoň 1x ročně </w:t>
            </w:r>
            <w:r>
              <w:t>se uskuteční setkávání zástupců sociální služeb a souvisejících aktivit dle cílových skupin.</w:t>
            </w:r>
          </w:p>
        </w:tc>
      </w:tr>
      <w:tr w:rsidR="008149DD">
        <w:trPr>
          <w:trHeight w:val="565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Zvýšení informovanosti zástupců samospráv a veřejnosti o poskytovaných službách v regionu.</w:t>
            </w:r>
          </w:p>
          <w:p w:rsidR="008149DD" w:rsidRDefault="00EE5874">
            <w:pPr>
              <w:pStyle w:val="Bezmezer"/>
              <w:widowControl w:val="0"/>
            </w:pPr>
            <w:r>
              <w:t>Aktivní vyhledání a nabídka pomoci  / služeb cí</w:t>
            </w:r>
            <w:r>
              <w:t>lovým skupinám (snadnější dostupnost pomoci).</w:t>
            </w:r>
          </w:p>
          <w:p w:rsidR="008149DD" w:rsidRDefault="00EE5874">
            <w:pPr>
              <w:pStyle w:val="Bezmezer"/>
              <w:widowControl w:val="0"/>
            </w:pPr>
            <w:r>
              <w:t>Zvýšení povědomí zástupců obcí o sociálních potřebách občanů.</w:t>
            </w:r>
          </w:p>
          <w:p w:rsidR="008149DD" w:rsidRDefault="00EE5874">
            <w:pPr>
              <w:pStyle w:val="Bezmezer"/>
              <w:widowControl w:val="0"/>
            </w:pPr>
            <w:r>
              <w:t>Rozvoj spolupráce mezi obcemi a poskytovateli služeb.</w:t>
            </w:r>
          </w:p>
        </w:tc>
      </w:tr>
      <w:tr w:rsidR="008149DD">
        <w:trPr>
          <w:trHeight w:val="285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5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Koordinátor KPSS / poskytovatelé SS a SA / obce území ORP</w:t>
            </w:r>
            <w:r>
              <w:t xml:space="preserve"> / MAS Hlinecko / město Hlinsko</w:t>
            </w:r>
          </w:p>
        </w:tc>
      </w:tr>
      <w:tr w:rsidR="008149DD">
        <w:trPr>
          <w:trHeight w:val="345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  <w:p w:rsidR="008149DD" w:rsidRDefault="00EE5874">
            <w:pPr>
              <w:pStyle w:val="Bezmezer"/>
              <w:widowControl w:val="0"/>
            </w:pPr>
            <w:r>
              <w:t>obce území ORP</w:t>
            </w:r>
          </w:p>
        </w:tc>
      </w:tr>
      <w:tr w:rsidR="008149DD">
        <w:trPr>
          <w:trHeight w:val="314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Aktuální informace v el. katalogu poskytovatelů SS</w:t>
            </w:r>
          </w:p>
        </w:tc>
      </w:tr>
      <w:tr w:rsidR="008149DD">
        <w:trPr>
          <w:trHeight w:val="240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zaznamenaných návštěv el. katalogu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realizovaných infoakcí v území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setkání zástupců služeb</w:t>
            </w:r>
            <w:r>
              <w:t xml:space="preserve"> a aktivit dle cílových skupin</w:t>
            </w:r>
          </w:p>
        </w:tc>
      </w:tr>
      <w:tr w:rsidR="008149DD">
        <w:trPr>
          <w:trHeight w:val="231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Nespolupráce ze strany poskytovatelů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Nespolupráce ze strany obcí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Špatná koordinace procesu KPSS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cente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Opatření 1.5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8EA0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Zavést koordinovanou případovou spolupráci v místní síti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Aby se k lidem, </w:t>
            </w:r>
            <w:r>
              <w:t xml:space="preserve">kteří již na svou situaci sami nestačí, pomoc dostala včas a odpovídala jejich potřebám, je tuto pomoc třeba koordinovat. Tzn. s jejich souhlasem a za účasti jich samých a jejich rodin zapojovat do zajištění pomoci další osoby a sociální služby a společně </w:t>
            </w:r>
            <w:r>
              <w:t>hledat nejvhodnější v rámci dostupných řešení.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0"/>
              </w:numPr>
            </w:pPr>
            <w:r>
              <w:t xml:space="preserve">Během projektu </w:t>
            </w:r>
            <w:r>
              <w:rPr>
                <w:i/>
                <w:iCs/>
              </w:rPr>
              <w:t xml:space="preserve">Hlinecko – region pomáhající a učící </w:t>
            </w:r>
            <w:r>
              <w:t>dojde k rozvoji koordinovaného zabezpečení potřeb / případového vedení dle indikátorů projektu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0"/>
              </w:numPr>
            </w:pPr>
            <w:r>
              <w:t>V rámci projektu bude nabídnuto místním aktérům vzdělávání v m</w:t>
            </w:r>
            <w:r>
              <w:t>etodě case management.</w:t>
            </w:r>
          </w:p>
        </w:tc>
      </w:tr>
      <w:tr w:rsidR="008149DD">
        <w:trPr>
          <w:trHeight w:val="404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Zvýšení kvality poskytovaných služeb (včasná a zacílená podpora).</w:t>
            </w:r>
          </w:p>
          <w:p w:rsidR="008149DD" w:rsidRDefault="00EE5874">
            <w:pPr>
              <w:pStyle w:val="Bezmezer"/>
              <w:widowControl w:val="0"/>
            </w:pPr>
            <w:r>
              <w:t>Komplexní a efektivní řešení nepříznivé sociální situace.</w:t>
            </w:r>
          </w:p>
          <w:p w:rsidR="008149DD" w:rsidRDefault="00EE5874">
            <w:pPr>
              <w:pStyle w:val="Bezmezer"/>
              <w:widowControl w:val="0"/>
            </w:pPr>
            <w:r>
              <w:t>Zajištění informací o potřebách a chybějících kapacitách přímo z případové práce.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Koordinátor KPSS / město Hlinsko / MAS Hlinecko / poskytovatelé SS a SA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77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účastníků vzdělávání v case managementu.</w:t>
            </w:r>
          </w:p>
        </w:tc>
      </w:tr>
      <w:tr w:rsidR="008149DD">
        <w:trPr>
          <w:trHeight w:val="77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uskutečněných případových setkání</w:t>
            </w:r>
          </w:p>
        </w:tc>
      </w:tr>
      <w:tr w:rsidR="008149DD">
        <w:trPr>
          <w:trHeight w:val="231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 xml:space="preserve">Rizika </w:t>
            </w:r>
            <w:r>
              <w:lastRenderedPageBreak/>
              <w:t>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Nezájem poskytovatelů o vzdělávání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Neochota aktérů zapojit se do tvorby koordinovaného systému poskytování služeb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985"/>
            <w:vAlign w:val="cente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Opatření 1.6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985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Využít potenciál dobrovolnické činnosti v regionu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V regionu působí akreditovaný dobrovolnický program pod organizací FOKUS Vysočina. Ten zabezpečuje dlouhodobé dobrovolníky do sociálních služeb i dobrovolníky na jednorázové akce.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1"/>
              </w:numPr>
            </w:pPr>
            <w:r>
              <w:t xml:space="preserve">Dojde ke zrevidování příležitostí a potřebnosti dobrovolníků u stávajících </w:t>
            </w:r>
            <w:r>
              <w:t>poskytovatelů a cílových skupin.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1"/>
              </w:numPr>
            </w:pPr>
            <w:r>
              <w:t xml:space="preserve">Budou identifikovány nové příležitosti pro podporu dalších cílových skupin (např. komunitní výpomoc neformálním pečujícím / seniorům/ osobám se zdravotním postižením, kteří nemají dostatečnou podporu okolí / v rámci </w:t>
            </w:r>
            <w:r>
              <w:t>odlehčení rodinným příslušníkům).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Rozvoj solidarity v rámci místní společnosti.</w:t>
            </w:r>
          </w:p>
          <w:p w:rsidR="008149DD" w:rsidRDefault="00EE5874">
            <w:pPr>
              <w:pStyle w:val="Bezmezer"/>
              <w:widowControl w:val="0"/>
            </w:pPr>
            <w:r>
              <w:t>Zajištění přirozených neformálních zdrojů pomoci.</w:t>
            </w:r>
          </w:p>
          <w:p w:rsidR="008149DD" w:rsidRDefault="00EE5874">
            <w:pPr>
              <w:pStyle w:val="Bezmezer"/>
              <w:widowControl w:val="0"/>
            </w:pPr>
            <w:r>
              <w:t xml:space="preserve">Doplnění činnosti sociálních služeb /souvisejících aktivit o další aktivity, které napomáhají </w:t>
            </w:r>
            <w:r>
              <w:t>sociálnímu začlenění.</w:t>
            </w:r>
          </w:p>
          <w:p w:rsidR="008149DD" w:rsidRDefault="00EE5874">
            <w:pPr>
              <w:pStyle w:val="Bezmezer"/>
              <w:widowControl w:val="0"/>
            </w:pPr>
            <w:r>
              <w:t>Bezplatná podpora organizací při realizaci jednorázových akcí.</w:t>
            </w:r>
          </w:p>
          <w:p w:rsidR="008149DD" w:rsidRDefault="00EE5874">
            <w:pPr>
              <w:pStyle w:val="Bezmezer"/>
              <w:widowControl w:val="0"/>
            </w:pPr>
            <w:r>
              <w:t>Zkušenostní zisk pro studenty a zúročení zkušeností pro seniory a další skupiny osob při dobrovolnické činnosti v sociální oblasti.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FO</w:t>
            </w:r>
            <w:r>
              <w:t>KUS Vysočina / MAS Hlinecko/ město Hlinsko / poskytovatelé SS a SA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rozpočet Dobrovolnického centra</w:t>
            </w:r>
          </w:p>
        </w:tc>
      </w:tr>
      <w:tr w:rsidR="008149DD">
        <w:trPr>
          <w:trHeight w:val="77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nových aktivit (přijímajících míst/organizací/domácností)</w:t>
            </w:r>
          </w:p>
        </w:tc>
      </w:tr>
      <w:tr w:rsidR="008149DD">
        <w:trPr>
          <w:trHeight w:val="77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 dobrovolníků</w:t>
            </w:r>
          </w:p>
        </w:tc>
      </w:tr>
      <w:tr w:rsidR="008149DD">
        <w:trPr>
          <w:trHeight w:val="231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Nedostatek </w:t>
            </w:r>
            <w:r>
              <w:t>dobrovolníků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Obavy ze strany nových cílových skupin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Překážky na straně Dobrovolnického centra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985"/>
            <w:vAlign w:val="center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Opatření 1.7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985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Zajistit bezplatný poradenský servis pro NNO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Sociální služby a zejména organizace poskytující související aktivity, které </w:t>
            </w:r>
            <w:r>
              <w:t>převážně fungují na dobrovolnické bázi, by uvítaly možnost poradenství v oblasti legislativy související s jejich činností.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2"/>
              </w:numPr>
            </w:pPr>
            <w:r>
              <w:t>Prověřit možnosti zajištění bezplatného poradenského servisu přímo v regionu, resp. v rámci dojezdnosti do okresního/krajského města</w:t>
            </w:r>
            <w:r>
              <w:t>.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Podpora činnosti a zvyšování kvality sociálních služeb a souvisejících aktivit.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Koordinátor KPSS / MAS Hlinecko</w:t>
            </w:r>
          </w:p>
        </w:tc>
      </w:tr>
      <w:tr w:rsidR="008149DD">
        <w:trPr>
          <w:trHeight w:val="231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-</w:t>
            </w:r>
          </w:p>
        </w:tc>
      </w:tr>
      <w:tr w:rsidR="008149DD">
        <w:trPr>
          <w:trHeight w:val="115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Zajištěný bezplatný poradenský servis </w:t>
            </w:r>
            <w:r>
              <w:t>pro NNO</w:t>
            </w:r>
          </w:p>
        </w:tc>
      </w:tr>
      <w:tr w:rsidR="008149DD">
        <w:trPr>
          <w:trHeight w:val="115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využitých konzultací</w:t>
            </w:r>
          </w:p>
        </w:tc>
      </w:tr>
      <w:tr w:rsidR="008149DD">
        <w:trPr>
          <w:trHeight w:val="231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Nedostupnost bezplatného poradenství pro NNO</w:t>
            </w:r>
          </w:p>
        </w:tc>
      </w:tr>
      <w:tr w:rsidR="008149DD">
        <w:trPr>
          <w:trHeight w:val="231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Reálný nezájem o využití poradenství ze  strany NNO</w:t>
            </w:r>
          </w:p>
        </w:tc>
      </w:tr>
    </w:tbl>
    <w:p w:rsidR="008149DD" w:rsidRDefault="008149DD"/>
    <w:tbl>
      <w:tblPr>
        <w:tblW w:w="14620" w:type="dxa"/>
        <w:tblInd w:w="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3151"/>
      </w:tblGrid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rPr>
                <w:b/>
                <w:sz w:val="26"/>
                <w:szCs w:val="26"/>
              </w:rPr>
              <w:lastRenderedPageBreak/>
              <w:t>Cíl 2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widowControl w:val="0"/>
            </w:pPr>
            <w:r>
              <w:rPr>
                <w:b/>
                <w:sz w:val="26"/>
                <w:szCs w:val="26"/>
              </w:rPr>
              <w:t>Zlepšit bezbariérovou dostupnost sociálních služeb, veřejných budov a veřejných prostranství v</w:t>
            </w:r>
            <w:r>
              <w:rPr>
                <w:b/>
                <w:sz w:val="26"/>
                <w:szCs w:val="26"/>
              </w:rPr>
              <w:t xml:space="preserve"> ORP</w:t>
            </w:r>
          </w:p>
        </w:tc>
      </w:tr>
      <w:tr w:rsidR="008149DD">
        <w:trPr>
          <w:trHeight w:val="85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 cíle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rFonts w:ascii="ArialMT" w:hAnsi="ArialMT"/>
                <w:sz w:val="19"/>
              </w:rPr>
            </w:pPr>
            <w:r>
              <w:t xml:space="preserve">Problém neexistence bezbariérových přístupů do budov a na veřejná prostranství byl akcentován všemi oslovenými cílovými skupinami uživatelů již v předchozím období komunitního plánování (2019 - 2022). V rámci dotazníkového šetření </w:t>
            </w:r>
            <w:r>
              <w:t>byli tehdy osloveni senioři a osoby se zdravotním postižením – z 21 odevzdaných dotazníků uvedlo 70 % dotázaných bezbariérový přístup sociálních služeb a úřadů jako největší problém. S ohledem na demografickou prognózu nejvíce dotčených cílových skupin (os</w:t>
            </w:r>
            <w:r>
              <w:t>oby se zdravotním postižením, senioři a rodiny s dětmi) se bude čím dál více zvyšovat důraz na bezbariérovost. Komplexní řešení tohoto problému zatím nebylo nabídnuto.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2.1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rPr>
                <w:b/>
                <w:bCs/>
                <w:color w:val="000000"/>
              </w:rPr>
              <w:t>Podpořit koncepční řešení bezbariérovosti</w:t>
            </w:r>
          </w:p>
        </w:tc>
      </w:tr>
      <w:tr w:rsidR="008149DD">
        <w:trPr>
          <w:trHeight w:val="17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</w:rPr>
            </w:pPr>
            <w:r>
              <w:t>Národní rozvojový program mobility pro všechny (2016 - 2025) umožňuje prostřednictvím vládního plánu financování obcím žádat o finanční podporu na komplexní řešení bezbariérových tras a vstupů. Pro žádost o podporu je nutné komplexní posouzení současného s</w:t>
            </w:r>
            <w:r>
              <w:t xml:space="preserve">tavu a vypracování záměru.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t xml:space="preserve">V rámci projektu  </w:t>
            </w:r>
            <w:r>
              <w:rPr>
                <w:i/>
                <w:iCs/>
              </w:rPr>
              <w:t xml:space="preserve">Hlinecko – region pomáhající a učící </w:t>
            </w:r>
            <w:r>
              <w:t xml:space="preserve">proto vznikne studie bezbariérovosti regionu.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t>Dojde přitom ke zmapování aktuálního stavu bezbariérovosti v regionu se zapojením místní komunity a příslušníků dotčených cílo</w:t>
            </w:r>
            <w:r>
              <w:t xml:space="preserve">vých skupin.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t xml:space="preserve">Nastaví se strategie rozvoje bezbariérovosti v regionu s ohledem na různé typy míst (např. veřejné budovy, prostranství, instituce zaměřené na dané CS, veřejná doprava atd.).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3"/>
              </w:numPr>
              <w:rPr>
                <w:rFonts w:ascii="Calibri" w:hAnsi="Calibri"/>
              </w:rPr>
            </w:pPr>
            <w:r>
              <w:t>Vznikne akční plán pro nejbližší období včetně návrhu pilotních ře</w:t>
            </w:r>
            <w:r>
              <w:t>šení.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Rovný přístup pro všechny: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7"/>
              </w:numPr>
            </w:pPr>
            <w:r>
              <w:t>zvýšení dostupnosti SS a veřejných budov, které dosud nemají bezbariérový přístup.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7"/>
              </w:numPr>
            </w:pPr>
            <w:r>
              <w:t>usnadnění mobility v navržených trasách.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7"/>
              </w:numPr>
            </w:pPr>
            <w:r>
              <w:t>zlepšené přístupy na veřejná prostranství.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MAS Hlinecko / obce v území / poskytovatelé SS a SA  / zástupci cílových skupin / externí dodavatel</w:t>
            </w:r>
          </w:p>
        </w:tc>
      </w:tr>
      <w:tr w:rsidR="008149DD">
        <w:trPr>
          <w:trHeight w:val="19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1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osob z cílových skupin zapojených do přípravy studie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Vznik studie bezbariérovosti</w:t>
            </w:r>
          </w:p>
        </w:tc>
      </w:tr>
      <w:tr w:rsidR="008149DD">
        <w:trPr>
          <w:trHeight w:val="1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Rizika </w:t>
            </w:r>
            <w:r>
              <w:t>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dodavatele studie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Zájem o účast na koncepčním řešení na straně jednotlivých aktérů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 vytvoření studie nebude následovat realizace doporučených opatření.</w:t>
            </w:r>
          </w:p>
        </w:tc>
      </w:tr>
    </w:tbl>
    <w:p w:rsidR="008149DD" w:rsidRDefault="008149DD"/>
    <w:tbl>
      <w:tblPr>
        <w:tblW w:w="14635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13150"/>
      </w:tblGrid>
      <w:tr w:rsidR="008149DD">
        <w:trPr>
          <w:trHeight w:val="28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rPr>
                <w:b/>
                <w:sz w:val="26"/>
                <w:szCs w:val="26"/>
              </w:rPr>
              <w:t>Cíl 3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6173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</w:rPr>
            </w:pPr>
            <w:r>
              <w:rPr>
                <w:rFonts w:cstheme="minorBidi"/>
                <w:b/>
                <w:sz w:val="26"/>
                <w:szCs w:val="26"/>
              </w:rPr>
              <w:t>Zvýšit dostupnost a nabídku vhodného bydlení</w:t>
            </w:r>
          </w:p>
        </w:tc>
      </w:tr>
      <w:tr w:rsidR="008149DD">
        <w:trPr>
          <w:trHeight w:val="85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 cíle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Bydlení </w:t>
            </w:r>
            <w:r>
              <w:t>je základní lidskou potřebou. Dostupné bydlení zásadně přispívá ke zlepšení kvality života. Přístup k bydlení odpovídající potřebám jednotlivých cílových skupin není dostatečný. Dlouhodobým cílem je zajištění dostupnosti bydlení s doprovodným sociálním pro</w:t>
            </w:r>
            <w:r>
              <w:t>gramem prostřednictvím zpracované koncepce dostupného bydlení.</w:t>
            </w:r>
          </w:p>
        </w:tc>
      </w:tr>
      <w:tr w:rsidR="008149DD">
        <w:trPr>
          <w:trHeight w:val="28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Opatření 3.1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9BA4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Podpořit koncepční řešení problematiky dostupného bydlení v území</w:t>
            </w:r>
          </w:p>
        </w:tc>
      </w:tr>
      <w:tr w:rsidR="008149DD">
        <w:trPr>
          <w:trHeight w:val="172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</w:rPr>
            </w:pPr>
            <w:r>
              <w:t>V území ORP jednoznačně chybí jednotná koncepce postupu výstavby bytů a analýza potřebnosti pro jednotlivé cílové skupiny, zejména pro osoby se zdravotním postižením, seniory, rodiny s  dětmi, samoživitele a samoživitelky, mladé dospělé, kteří se chtějí, n</w:t>
            </w:r>
            <w:r>
              <w:t xml:space="preserve">ebo musí osamostatnit, protože odcházejí z náhradní péče. 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t xml:space="preserve">V rámci projektu  </w:t>
            </w:r>
            <w:r>
              <w:rPr>
                <w:i/>
                <w:iCs/>
              </w:rPr>
              <w:t xml:space="preserve">Hlinecko – region pomáhající a učící </w:t>
            </w:r>
            <w:r>
              <w:t>proto vznikne studie dostupného bydlení s důrazem na vymezené CS.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t>Dojde ke zmapování aktuálního stavu bydlení v regionu  (zapojení a průzkum v</w:t>
            </w:r>
            <w:r>
              <w:t xml:space="preserve"> obcích a u vybraných CS - rodiny s dětmi, senioři, zdravotně postižení ad).</w:t>
            </w:r>
          </w:p>
          <w:p w:rsidR="008149DD" w:rsidRDefault="00EE5874">
            <w:pPr>
              <w:pStyle w:val="Bezmezer"/>
              <w:widowControl w:val="0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t xml:space="preserve">Bude nastavena strategie rozvoje bydlení v území s důrazem na různé formy dostupného bydlení (např. krizové, sdílené, seniorské, startovací atd.). Vznikne akční plán studie a </w:t>
            </w:r>
            <w:r>
              <w:t>realizace pilotních řešení.</w:t>
            </w:r>
          </w:p>
        </w:tc>
      </w:tr>
      <w:tr w:rsidR="008149DD">
        <w:trPr>
          <w:trHeight w:val="288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Dostupnější bydlení odpovídající potřebám</w:t>
            </w:r>
          </w:p>
          <w:p w:rsidR="008149DD" w:rsidRDefault="00EE5874">
            <w:pPr>
              <w:pStyle w:val="Bezmezer"/>
              <w:widowControl w:val="0"/>
            </w:pPr>
            <w:r>
              <w:t>Zvýšená míra sociální integrace do společnosti</w:t>
            </w:r>
          </w:p>
          <w:p w:rsidR="008149DD" w:rsidRDefault="00EE5874">
            <w:pPr>
              <w:pStyle w:val="Bezmezer"/>
              <w:widowControl w:val="0"/>
            </w:pPr>
            <w:r>
              <w:t>Zvýšení kvality života osob v území</w:t>
            </w:r>
          </w:p>
        </w:tc>
      </w:tr>
      <w:tr w:rsidR="008149DD">
        <w:trPr>
          <w:trHeight w:val="9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2024-2025</w:t>
            </w:r>
          </w:p>
        </w:tc>
      </w:tr>
      <w:tr w:rsidR="008149DD">
        <w:trPr>
          <w:trHeight w:val="9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MAS Hlinecko / obce v území / poskytovatelé</w:t>
            </w:r>
            <w:r>
              <w:t xml:space="preserve"> SS a SA  / zástupci cílových skupin / externí dodavatel</w:t>
            </w:r>
          </w:p>
        </w:tc>
      </w:tr>
      <w:tr w:rsidR="008149DD">
        <w:trPr>
          <w:trHeight w:val="19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19"/>
        </w:trPr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Vznik studie dostupného bydlení</w:t>
            </w:r>
          </w:p>
        </w:tc>
      </w:tr>
      <w:tr w:rsidR="008149DD">
        <w:trPr>
          <w:trHeight w:val="19"/>
        </w:trPr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dodavatele studie</w:t>
            </w:r>
          </w:p>
        </w:tc>
      </w:tr>
      <w:tr w:rsidR="008149DD">
        <w:trPr>
          <w:trHeight w:val="19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Zájem o účast na koncepčním řešení na straně jednotlivých aktérů</w:t>
            </w:r>
          </w:p>
        </w:tc>
      </w:tr>
      <w:tr w:rsidR="008149DD">
        <w:trPr>
          <w:trHeight w:val="19"/>
        </w:trPr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 </w:t>
            </w:r>
            <w:r>
              <w:t>vytvoření studie nebude následovat realizace doporučených opatření</w:t>
            </w:r>
          </w:p>
        </w:tc>
      </w:tr>
    </w:tbl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p w:rsidR="00EE5874" w:rsidRDefault="00EE5874"/>
    <w:bookmarkStart w:id="32" w:name="__RefHeading___Toc5896_3491215576"/>
    <w:bookmarkEnd w:id="32"/>
    <w:p w:rsidR="008149DD" w:rsidRDefault="00EE5874">
      <w:pPr>
        <w:pStyle w:val="Nadpis2"/>
        <w:rPr>
          <w:rFonts w:ascii="Calibri" w:hAnsi="Calibri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-892175</wp:posOffset>
                </wp:positionV>
                <wp:extent cx="7535545" cy="10664190"/>
                <wp:effectExtent l="0" t="0" r="0" b="0"/>
                <wp:wrapNone/>
                <wp:docPr id="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20" cy="1066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stroked="f" o:allowincell="f" style="position:absolute;margin-left:-69.25pt;margin-top:-70.25pt;width:593.3pt;height:839.6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8"/>
          <w:szCs w:val="28"/>
        </w:rPr>
        <w:t>PO2 - Rodinní pečující</w:t>
      </w:r>
    </w:p>
    <w:p w:rsidR="008149DD" w:rsidRDefault="00EE5874">
      <w:pPr>
        <w:rPr>
          <w:rFonts w:ascii="Calibri" w:hAnsi="Calibri"/>
        </w:rPr>
      </w:pPr>
      <w:r>
        <w:t>Tato oblast upravuje systematickou podporu neformálním pečujícím jako samostatné cílové skupině komunitního plánování. Neformální pečující jsou rodinní příslušníci</w:t>
      </w:r>
      <w:r>
        <w:t xml:space="preserve">, přátelé aj., kteří pečují o blízkou osobu se sníženou mírou soběstačnosti z důvodu věku a zdravotního stavu. Data o počtu neformálních pečovatelů na Hlinecku (19 tis. ob.) nejsou dostupná, ale v analogii k provedenému průzkumu se dá odhadovat, že je zde </w:t>
      </w:r>
      <w:r>
        <w:t>cca 3,5tis. pečujících osob. Pečující jsou v rámci poskytování služeb vnímáni zpravidla „pouze“ jako rodinní příslušníci uživatelů, a není tedy věnována náležitá pozornost jejich vlastním potřebám. Tuto skutečnost se budeme snažit prostřednictvím následují</w:t>
      </w:r>
      <w:r>
        <w:t>cích cílů změnit.</w:t>
      </w:r>
    </w:p>
    <w:tbl>
      <w:tblPr>
        <w:tblW w:w="14625" w:type="dxa"/>
        <w:tblInd w:w="1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25"/>
      </w:tblGrid>
      <w:tr w:rsidR="008149DD">
        <w:tc>
          <w:tcPr>
            <w:tcW w:w="1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b/>
                <w:bCs/>
              </w:rPr>
              <w:t>Cíl 1 Aktivně vyhledávat rodinné pečující, mapovat a zabezpečovat jejich potřeby v jejich přirozeném prostředí</w:t>
            </w:r>
          </w:p>
        </w:tc>
      </w:tr>
      <w:tr w:rsidR="008149DD">
        <w:tc>
          <w:tcPr>
            <w:tcW w:w="14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240" w:lineRule="auto"/>
            </w:pPr>
            <w:r>
              <w:rPr>
                <w:b/>
                <w:bCs/>
              </w:rPr>
              <w:t>Cíl 2 Zajistit komunitní odlehčovací služby</w:t>
            </w:r>
          </w:p>
        </w:tc>
      </w:tr>
    </w:tbl>
    <w:p w:rsidR="008149DD" w:rsidRDefault="008149DD">
      <w:pPr>
        <w:rPr>
          <w:rFonts w:ascii="Calibri" w:eastAsia="Calibri" w:hAnsi="Calibri"/>
          <w:b/>
          <w:bCs/>
        </w:rPr>
      </w:pPr>
    </w:p>
    <w:p w:rsidR="00EE5874" w:rsidRDefault="00EE5874">
      <w:pPr>
        <w:rPr>
          <w:rFonts w:ascii="Calibri" w:eastAsia="Calibri" w:hAnsi="Calibri"/>
          <w:b/>
          <w:bCs/>
        </w:rPr>
      </w:pPr>
    </w:p>
    <w:tbl>
      <w:tblPr>
        <w:tblW w:w="14650" w:type="dxa"/>
        <w:tblInd w:w="1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3181"/>
      </w:tblGrid>
      <w:tr w:rsidR="008149DD">
        <w:trPr>
          <w:trHeight w:val="52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left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PO2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Cíle v prioritní oblasti Rodinní pečující</w:t>
            </w:r>
          </w:p>
        </w:tc>
      </w:tr>
      <w:tr w:rsidR="008149DD">
        <w:trPr>
          <w:trHeight w:val="405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Cíl 1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Aktivně vyhledávat rodinné </w:t>
            </w:r>
            <w:r>
              <w:rPr>
                <w:b/>
                <w:bCs/>
                <w:sz w:val="26"/>
                <w:szCs w:val="26"/>
              </w:rPr>
              <w:t>pečující, mapovat a zabezpečovat jejich potřeby v jejich přirozeném prostředí</w:t>
            </w:r>
          </w:p>
        </w:tc>
      </w:tr>
      <w:tr w:rsidR="008149DD">
        <w:trPr>
          <w:trHeight w:val="85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 cíle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</w:rPr>
            </w:pPr>
            <w:r>
              <w:t xml:space="preserve">Pečující osoby zpravidla samy nevyhledávají pomoc od okolí. Mají ztížený přístup k informacím o možnostech podpory v jejich situaci, ať už se týká finančního </w:t>
            </w:r>
            <w:r>
              <w:t>zabezpečení nebo praktických záležitostí při péči o blízkého, možnostech sdílené péče, nebo péče o vlastní zdraví. Včasná a komplexní pomoc pečovatelům povede ke snížení zdravotních rizik (zanedbávání preventivních prohlídek, zhoršené fyzické zdraví, depre</w:t>
            </w:r>
            <w:r>
              <w:t>se) a rizika sociálního vyloučení (ztráta vazeb a osamocení, ztráta zaměstnání, čas na sebe a své zájmy, ...).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1.1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Aktivní vyhledávání cílových skupin v území</w:t>
            </w:r>
          </w:p>
        </w:tc>
      </w:tr>
      <w:tr w:rsidR="008149DD">
        <w:trPr>
          <w:trHeight w:val="17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t xml:space="preserve">V rámci projektu </w:t>
            </w:r>
            <w:r>
              <w:rPr>
                <w:i/>
                <w:iCs/>
              </w:rPr>
              <w:t>Hlinecko – region pomáhající a učící</w:t>
            </w:r>
            <w:r>
              <w:t xml:space="preserve"> bude doplněn tým Odboru sociálních věcí, školství a zdravotnictví MÚ Hlinsko o terénního sociálního pracovníka, který se bude věnovat v území depistáži cílových skupin (zejm. rodinných pečujících, seniorů a osob se zdravotním postižením). </w:t>
            </w:r>
          </w:p>
          <w:p w:rsidR="008149DD" w:rsidRDefault="00EE5874">
            <w:pPr>
              <w:widowControl w:val="0"/>
              <w:numPr>
                <w:ilvl w:val="0"/>
                <w:numId w:val="15"/>
              </w:numPr>
              <w:spacing w:after="0" w:line="240" w:lineRule="auto"/>
            </w:pPr>
            <w:r>
              <w:t>Tento pracovník</w:t>
            </w:r>
            <w:r>
              <w:t xml:space="preserve"> rovněž zajistí intenzivnější komunikaci se zástupci samospráv v oblasti sociálních potřeb občanů, bude spolupracovat se zástupci obcí pro sociální věci. Pečující osoby informuje o činnosti Kontaktního místa pro pečující a zájemcům zprostředkuje kontakt s </w:t>
            </w:r>
            <w:r>
              <w:t>jeho pracovnicí.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</w:pPr>
            <w:r>
              <w:t>Včasný záchyt cílových skupin v jejich přirozeném prostředí.</w:t>
            </w:r>
          </w:p>
          <w:p w:rsidR="008149DD" w:rsidRDefault="00EE5874">
            <w:pPr>
              <w:widowControl w:val="0"/>
              <w:spacing w:after="0" w:line="240" w:lineRule="auto"/>
            </w:pPr>
            <w:r>
              <w:t>Zvýšení informovanosti zástupců obcí a veřejnosti o sociální pomoci.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– 2025</w:t>
            </w:r>
          </w:p>
        </w:tc>
      </w:tr>
      <w:tr w:rsidR="008149DD">
        <w:trPr>
          <w:trHeight w:val="96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Město Hlinsko / MAS Hlinecko </w:t>
            </w:r>
          </w:p>
        </w:tc>
      </w:tr>
      <w:tr w:rsidR="008149DD">
        <w:trPr>
          <w:trHeight w:val="19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Zdroje </w:t>
            </w:r>
            <w:r>
              <w:t>financování</w:t>
            </w:r>
          </w:p>
        </w:tc>
        <w:tc>
          <w:tcPr>
            <w:tcW w:w="1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terénního pracovníka</w:t>
            </w:r>
          </w:p>
        </w:tc>
      </w:tr>
      <w:tr w:rsidR="008149DD">
        <w:trPr>
          <w:trHeight w:val="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oslovených pečujících osob</w:t>
            </w:r>
          </w:p>
        </w:tc>
      </w:tr>
      <w:tr w:rsidR="008149DD">
        <w:trPr>
          <w:trHeight w:val="19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Rizika </w:t>
            </w:r>
            <w:r>
              <w:lastRenderedPageBreak/>
              <w:t>realizace</w:t>
            </w:r>
          </w:p>
        </w:tc>
        <w:tc>
          <w:tcPr>
            <w:tcW w:w="1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Nepodaří se zajistit terénní pracovník</w:t>
            </w:r>
          </w:p>
        </w:tc>
      </w:tr>
      <w:tr w:rsidR="008149DD">
        <w:trPr>
          <w:trHeight w:val="19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Neúspěšná depistáž neformálních pečujících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Opatření 1.2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Vznik Kontaktního místa pro pečující</w:t>
            </w:r>
          </w:p>
        </w:tc>
      </w:tr>
      <w:tr w:rsidR="008149DD">
        <w:trPr>
          <w:trHeight w:val="34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 rámci projektu </w:t>
            </w:r>
            <w:r>
              <w:rPr>
                <w:i/>
                <w:iCs/>
              </w:rPr>
              <w:t>Hlinecko – region pomáhající a učící</w:t>
            </w:r>
            <w:r>
              <w:t xml:space="preserve"> vznikne při odboru sociálních věcí, školství a zdravotnictví MÚ Hlinsko Kontaktní místo pro pečující (neformální pečovatele). </w:t>
            </w:r>
          </w:p>
          <w:p w:rsidR="008149DD" w:rsidRDefault="00EE5874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Aktivitu bude zajišťovat průvodce pečujících, kmenový sociá</w:t>
            </w:r>
            <w:r>
              <w:t>lní pracovník odboru. Ten bude působit přímo v domácnostech pečujících osob, poskytovat informační a praktické poradenství vztahující se k péči, doprovázet pečující a pomáhat zabezpečovat jejich sociální a zdravotní potřeby.</w:t>
            </w:r>
          </w:p>
          <w:p w:rsidR="008149DD" w:rsidRDefault="00EE5874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Informování veřejnosti o činnos</w:t>
            </w:r>
            <w:r>
              <w:t xml:space="preserve">ti kontaktního místa bude zabezpečovat ve spolupráci s terénním sociálním pracovníkem (viz 1.1). </w:t>
            </w:r>
          </w:p>
          <w:p w:rsidR="008149DD" w:rsidRDefault="00EE5874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Pro naplnění specifických potřeb klientů kontaktního místa bude jeho tým využívat služeb externistů různých profesí (např. ergoterapeut, fyzioterapeut, psycho</w:t>
            </w:r>
            <w:r>
              <w:t xml:space="preserve">terapeut, právník, rodinný mediátor …). </w:t>
            </w:r>
          </w:p>
          <w:p w:rsidR="008149DD" w:rsidRDefault="00EE5874">
            <w:pPr>
              <w:widowControl w:val="0"/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Z podpory pečovatelů budou přímo profitovat i senioři/OZP, kterým bude ve spolupráci s dalšími partnery zajištěna včasná a adekvátní neformální / sdílená péče komunitního charakteru.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Prevence zdravotních a sociálních rizik pečujících.</w:t>
            </w:r>
          </w:p>
          <w:p w:rsidR="008149DD" w:rsidRDefault="00EE5874">
            <w:pPr>
              <w:pStyle w:val="Bezmezer"/>
              <w:widowControl w:val="0"/>
            </w:pPr>
            <w:r>
              <w:t>Zajištění včasné a adekvátní podpory pro seniory a osoby se zdravotním postižením.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/ MAS Hlinecko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Počet </w:t>
            </w:r>
            <w:r>
              <w:t>podpořených pečujících (indikátory dle projektu).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spolupracujících odborníků.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Nedostatečný zájem pečujících o podporu.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Nedostupnost spolupracujících odborníků.</w:t>
            </w:r>
          </w:p>
        </w:tc>
      </w:tr>
    </w:tbl>
    <w:p w:rsidR="008149DD" w:rsidRDefault="00EE5874">
      <w:r>
        <w:tab/>
      </w:r>
      <w:r>
        <w:tab/>
      </w:r>
      <w:r>
        <w:tab/>
      </w:r>
    </w:p>
    <w:tbl>
      <w:tblPr>
        <w:tblW w:w="14640" w:type="dxa"/>
        <w:tblInd w:w="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3172"/>
      </w:tblGrid>
      <w:tr w:rsidR="008149DD">
        <w:trPr>
          <w:trHeight w:val="36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Cíl 2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Zajistit v území komunitní odlehčovací služby</w:t>
            </w:r>
          </w:p>
        </w:tc>
      </w:tr>
      <w:tr w:rsidR="008149DD">
        <w:trPr>
          <w:trHeight w:val="85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</w:t>
            </w:r>
            <w:r>
              <w:t xml:space="preserve"> cíle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Rodinní pečující potřebují s ohledem na prevenci zdravotních a sociálních rizik (odpočinek, lékařské prohlídky, lázně, dovolená, zajištění osobních záležitostí, kontakt s přáteli, …) zajistit přechodnou péči o své blízké. Ať již ve své domácnosti neb</w:t>
            </w:r>
            <w:r>
              <w:t>o v pobytové odlehčovací službě komunitního charakteru (připomíná běžnou domácnost a přizpůsobuje se individuálním zvyklostem a potřebám uživatelů). Tak, aby nemuseli zajišťovat s dlouhodobým předstihem péči o blízkého ve službách v jiných regionech. V sou</w:t>
            </w:r>
            <w:r>
              <w:t>časné době přímo v území zajišťují „odlehčení“ pečovatelské služby, služby osobní asistence a centrum denních služeb.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2.1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Zajištění terénní odlehčovací služby</w:t>
            </w:r>
          </w:p>
        </w:tc>
      </w:tr>
      <w:tr w:rsidR="008149DD">
        <w:trPr>
          <w:trHeight w:val="17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numPr>
                <w:ilvl w:val="0"/>
                <w:numId w:val="18"/>
              </w:numPr>
            </w:pPr>
            <w:r>
              <w:t xml:space="preserve">Vedle stávajících terénních služeb sociální péče (pečovatelská služba, </w:t>
            </w:r>
            <w:r>
              <w:t>osobní asistence), které poskytují pravidelnou péči seniorům a osobám se zdravotním postižením (včetně osob s poruchami autistického spektra), bude poskytována terénní služba, která nabídne zájemcům nepravidelnou podporu s vícehodinovým i celodenním rozsah</w:t>
            </w:r>
            <w:r>
              <w:t>em v jejich domácím prostředí.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jc w:val="left"/>
            </w:pPr>
            <w:r>
              <w:t>Dopad na cílové skupiny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</w:pPr>
            <w:r>
              <w:t>Zajištění krátkodobého odlehčení pečujícím.</w:t>
            </w:r>
          </w:p>
          <w:p w:rsidR="008149DD" w:rsidRDefault="00EE5874">
            <w:pPr>
              <w:widowControl w:val="0"/>
              <w:spacing w:after="0" w:line="240" w:lineRule="auto"/>
            </w:pPr>
            <w:r>
              <w:t>Zajištění náhradní péče seniorům / osobám se zdravotním postižením v jejich prostředí.</w:t>
            </w:r>
          </w:p>
        </w:tc>
      </w:tr>
      <w:tr w:rsidR="008149DD">
        <w:trPr>
          <w:trHeight w:val="9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Harmonogram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2025</w:t>
            </w:r>
          </w:p>
        </w:tc>
      </w:tr>
      <w:tr w:rsidR="008149DD">
        <w:trPr>
          <w:trHeight w:val="9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/ poskytovatelé SS</w:t>
            </w:r>
          </w:p>
        </w:tc>
      </w:tr>
      <w:tr w:rsidR="008149DD">
        <w:trPr>
          <w:trHeight w:val="19"/>
        </w:trPr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</w:t>
            </w:r>
            <w:r>
              <w:t xml:space="preserve"> území ORP – příspěvky poskytovatelům SS</w:t>
            </w:r>
          </w:p>
        </w:tc>
      </w:tr>
      <w:tr w:rsidR="008149DD">
        <w:trPr>
          <w:trHeight w:val="19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19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MPSV ČR</w:t>
            </w:r>
          </w:p>
        </w:tc>
      </w:tr>
      <w:tr w:rsidR="008149DD">
        <w:trPr>
          <w:trHeight w:val="19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Uživatelé – úhrady za služby</w:t>
            </w:r>
          </w:p>
        </w:tc>
      </w:tr>
      <w:tr w:rsidR="008149DD">
        <w:trPr>
          <w:trHeight w:val="9"/>
        </w:trPr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poskytovatele</w:t>
            </w:r>
          </w:p>
        </w:tc>
      </w:tr>
      <w:tr w:rsidR="008149DD">
        <w:trPr>
          <w:trHeight w:val="9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Zařazení do krajské sítě</w:t>
            </w:r>
          </w:p>
        </w:tc>
      </w:tr>
      <w:tr w:rsidR="008149DD">
        <w:trPr>
          <w:trHeight w:val="19"/>
        </w:trPr>
        <w:tc>
          <w:tcPr>
            <w:tcW w:w="14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Nezájem ze strany poskytovatelů</w:t>
            </w:r>
          </w:p>
        </w:tc>
      </w:tr>
      <w:tr w:rsidR="008149DD">
        <w:trPr>
          <w:trHeight w:val="19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finančních prostředků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2.2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Zajištění pobytové odlehčovací služby</w:t>
            </w:r>
          </w:p>
        </w:tc>
      </w:tr>
      <w:tr w:rsidR="008149DD">
        <w:trPr>
          <w:trHeight w:val="34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numPr>
                <w:ilvl w:val="0"/>
                <w:numId w:val="17"/>
              </w:numPr>
            </w:pPr>
            <w:r>
              <w:t xml:space="preserve">V území vznikne pobytová odlehčovací služba komunitního charakteru pro seniory a osoby se zdravotním postižením v kapacitě 5 - 8 lůžek. Tak bude zajištěno odlehčení pečujícím osobám v </w:t>
            </w:r>
            <w:r>
              <w:t>rozsahu dní – týdnů pro zajištění odpočinku a zdravotních a sociálních potřeb.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krátkodobého i dlouhodobého odlehčení pečujícím.</w:t>
            </w:r>
          </w:p>
          <w:p w:rsidR="008149DD" w:rsidRDefault="00EE5874">
            <w:pPr>
              <w:pStyle w:val="Bezmezer"/>
              <w:widowControl w:val="0"/>
            </w:pPr>
            <w:r>
              <w:t xml:space="preserve">Zajištění náhradní péče seniorům/osobám se zdravotním postižením v pobytové službě </w:t>
            </w:r>
            <w:r>
              <w:t>komunitního typu v blízkosti bydliště.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/ poskytovatelé SS</w:t>
            </w:r>
          </w:p>
        </w:tc>
      </w:tr>
      <w:tr w:rsidR="008149DD">
        <w:trPr>
          <w:trHeight w:val="57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ve stávajících kapacitách</w:t>
            </w:r>
          </w:p>
        </w:tc>
      </w:tr>
      <w:tr w:rsidR="008149DD">
        <w:trPr>
          <w:trHeight w:val="57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57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MPSV</w:t>
            </w:r>
          </w:p>
        </w:tc>
      </w:tr>
      <w:tr w:rsidR="008149DD">
        <w:trPr>
          <w:trHeight w:val="57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Uživatelé – úhrady za služby</w:t>
            </w:r>
          </w:p>
        </w:tc>
      </w:tr>
      <w:tr w:rsidR="008149DD">
        <w:trPr>
          <w:trHeight w:val="288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Zajištění </w:t>
            </w:r>
            <w:r>
              <w:t>poskytovatele</w:t>
            </w:r>
          </w:p>
        </w:tc>
      </w:tr>
      <w:tr w:rsidR="008149DD">
        <w:trPr>
          <w:trHeight w:val="144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Materiální zajištění</w:t>
            </w:r>
          </w:p>
        </w:tc>
      </w:tr>
      <w:tr w:rsidR="008149DD">
        <w:trPr>
          <w:trHeight w:val="144"/>
        </w:trPr>
        <w:tc>
          <w:tcPr>
            <w:tcW w:w="1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Zařazení do krajské sítě</w:t>
            </w:r>
          </w:p>
        </w:tc>
      </w:tr>
      <w:tr w:rsidR="008149DD">
        <w:trPr>
          <w:trHeight w:val="288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Nedostupný objekt</w:t>
            </w:r>
          </w:p>
        </w:tc>
      </w:tr>
      <w:tr w:rsidR="008149DD">
        <w:trPr>
          <w:trHeight w:val="288"/>
        </w:trPr>
        <w:tc>
          <w:tcPr>
            <w:tcW w:w="1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finančních prostředků</w:t>
            </w:r>
          </w:p>
        </w:tc>
      </w:tr>
    </w:tbl>
    <w:p w:rsidR="008149DD" w:rsidRDefault="00EE5874">
      <w:pPr>
        <w:pStyle w:val="Nadpis2"/>
        <w:numPr>
          <w:ilvl w:val="0"/>
          <w:numId w:val="0"/>
        </w:numPr>
        <w:ind w:left="1002"/>
      </w:pPr>
      <w:r>
        <w:br w:type="page"/>
      </w:r>
    </w:p>
    <w:bookmarkStart w:id="33" w:name="__RefHeading___Toc5925_3491215576"/>
    <w:bookmarkEnd w:id="33"/>
    <w:p w:rsidR="008149DD" w:rsidRDefault="00EE5874">
      <w:pPr>
        <w:pStyle w:val="Nadpis2"/>
        <w:rPr>
          <w:rFonts w:ascii="Calibri" w:hAnsi="Calibri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0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-892175</wp:posOffset>
                </wp:positionV>
                <wp:extent cx="7535545" cy="10664190"/>
                <wp:effectExtent l="0" t="0" r="0" b="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20" cy="1066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stroked="f" o:allowincell="f" style="position:absolute;margin-left:-69.25pt;margin-top:-70.25pt;width:593.3pt;height:839.6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8"/>
          <w:szCs w:val="28"/>
        </w:rPr>
        <w:t>PO3 - Senioři a osoby se zdravotním postižením</w:t>
      </w:r>
    </w:p>
    <w:p w:rsidR="008149DD" w:rsidRDefault="00EE5874">
      <w:pPr>
        <w:rPr>
          <w:rFonts w:ascii="Calibri" w:hAnsi="Calibri"/>
        </w:rPr>
      </w:pPr>
      <w:r>
        <w:t>Tato oblast upravuje systematickou podporu seniorům a osobám se zdravotním postižením. Dle demografické prognózy k roku 2027 očekáváme na Hlinecku výrazné stárnutí populace (index stáří 165 a více), počet seniorů zde přesáhne hranici 5000 osob, z toho přib</w:t>
      </w:r>
      <w:r>
        <w:t>ližně 1500 z nich bude starších 80 let! S přibýváním osob s omezenou soběstačností bude přibývat neformálních pečovatelů a bude narůstat poptávka po službách pro seniory a osoby se zdravotním postižením. Úmluva o právech osob se zdravotním postižením, pova</w:t>
      </w:r>
      <w:r>
        <w:t>žuje za osoby se zdravotním postižením ty, které mají dlouhodobé fyzické, duševní, mentální nebo smyslové postižení, které v interakci s různými překážkami může bránit jejich plnému a účinnému zapojení do společnosti na rovnoprávném základě s ostatními. Př</w:t>
      </w:r>
      <w:r>
        <w:t xml:space="preserve">áním seniorů a osob se zdravotním postižením je žít co nejvíce samostatný život ve svém přirozeném prostředí, a tomu bude pomoc v regionu přizpůsobena. </w:t>
      </w:r>
      <w:bookmarkStart w:id="34" w:name="_Toc198634021"/>
      <w:bookmarkEnd w:id="34"/>
    </w:p>
    <w:tbl>
      <w:tblPr>
        <w:tblW w:w="14745" w:type="dxa"/>
        <w:tblInd w:w="-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45"/>
      </w:tblGrid>
      <w:tr w:rsidR="008149DD">
        <w:tc>
          <w:tcPr>
            <w:tcW w:w="1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Cíl 1 Aktivně vyhledávat seniory a osoby se zdravotním postižením, mapovat a zabezpečovat jejich potřeb</w:t>
            </w:r>
            <w:r>
              <w:rPr>
                <w:b/>
                <w:bCs/>
              </w:rPr>
              <w:t>y v jejich přirozeném prostředí</w:t>
            </w:r>
          </w:p>
        </w:tc>
      </w:tr>
      <w:tr w:rsidR="008149DD">
        <w:tc>
          <w:tcPr>
            <w:tcW w:w="1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Cíl 2 Zajistit komunitní pobytové služby pro osoby se zdravotním postižením</w:t>
            </w:r>
          </w:p>
        </w:tc>
      </w:tr>
      <w:tr w:rsidR="008149DD">
        <w:tc>
          <w:tcPr>
            <w:tcW w:w="14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Cíl 3 Zajistit advokační a destigmatizační aktivity v oblasti podpory osob se zdravotním postižením</w:t>
            </w:r>
          </w:p>
        </w:tc>
      </w:tr>
    </w:tbl>
    <w:p w:rsidR="008149DD" w:rsidRDefault="008149DD"/>
    <w:tbl>
      <w:tblPr>
        <w:tblW w:w="14740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3135"/>
      </w:tblGrid>
      <w:tr w:rsidR="008149DD">
        <w:trPr>
          <w:trHeight w:val="52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left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PO3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Cíle v prioritní oblasti Senioři a osoby</w:t>
            </w:r>
            <w:r>
              <w:rPr>
                <w:b/>
                <w:color w:val="FFFFFF"/>
                <w:sz w:val="40"/>
                <w:szCs w:val="40"/>
              </w:rPr>
              <w:t xml:space="preserve"> se zdravotním postižením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1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  <w:sz w:val="26"/>
                <w:szCs w:val="26"/>
              </w:rPr>
              <w:t>Aktivně vyhledávat seniory a osoby se zdravotním postižením, mapovat a zabezpečovat jejich potřeby v jejich přirozeném prostředí</w:t>
            </w:r>
          </w:p>
        </w:tc>
      </w:tr>
      <w:tr w:rsidR="008149DD">
        <w:trPr>
          <w:trHeight w:val="8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after="160"/>
              <w:contextualSpacing/>
            </w:pPr>
            <w:r>
              <w:t>Zdůvodnění cíle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rFonts w:ascii="Calibri" w:hAnsi="Calibri"/>
              </w:rPr>
            </w:pPr>
            <w:r>
              <w:t xml:space="preserve">Včasný záchyt a vyhodnocení potřeb seniorů / osob se zdravotním postižením </w:t>
            </w:r>
            <w:r>
              <w:t>povede k zajištění adekvátní péče. Prostřednictvím koordinované případové práce bude zohledněna subsidiarita dostupné pomoci. Přednost bude mít vždy podpora rodiny, resp. sdílené péče (rodina + služby) v přirozeném prostředí. U osob s vysokou mírou podpory</w:t>
            </w:r>
            <w:r>
              <w:t xml:space="preserve"> bude nástup na dlouhodobý pobyt do zařízení doporučován jen v případě, že v regionu nebude dostupné jiné řešení.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1.1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Aktivní vyhledávání cílových skupin v území</w:t>
            </w:r>
          </w:p>
        </w:tc>
      </w:tr>
      <w:tr w:rsidR="008149DD">
        <w:trPr>
          <w:trHeight w:val="17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jc w:val="left"/>
              <w:rPr>
                <w:rFonts w:ascii="Calibri" w:hAnsi="Calibri"/>
              </w:rPr>
            </w:pPr>
            <w:r>
              <w:t>Viz PO2 opatření 1.1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1.2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Zavést koordinovanou případovou </w:t>
            </w:r>
            <w:r>
              <w:rPr>
                <w:b/>
                <w:bCs/>
              </w:rPr>
              <w:t>spolupráci v místní síti</w:t>
            </w:r>
          </w:p>
        </w:tc>
      </w:tr>
      <w:tr w:rsidR="008149DD">
        <w:trPr>
          <w:trHeight w:val="34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>Viz PO1 opatření 1.5</w:t>
            </w:r>
          </w:p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>Zájemcům o pobytové služby v domově pro seniory / domově se zvláštním režimem bude nabízeno koordinované zabezpečení potřeb prostřednictvím case managementu.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1.3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Zajištění péče na míru</w:t>
            </w:r>
            <w:r>
              <w:rPr>
                <w:b/>
                <w:bCs/>
              </w:rPr>
              <w:t xml:space="preserve"> pro osoby s poruchami autistického spektra (PAS)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>V širším regionu chybí dostupná ambulantní péče pro osoby s PAS (s chováním náročným na péči).</w:t>
            </w:r>
          </w:p>
          <w:p w:rsidR="008149DD" w:rsidRDefault="00EE5874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Ve spolupráci s poskytovateli a odborem sociálních věcí Krajského úřadu Pardubického kraje je </w:t>
            </w:r>
            <w:r>
              <w:t>třeba v individuálních případech zajistit místo a podporu lidem z Hlinecka ve stávajících ambulantních službách pro osoby se zdravotním postižením.</w:t>
            </w:r>
          </w:p>
          <w:p w:rsidR="008149DD" w:rsidRDefault="00EE5874">
            <w:pPr>
              <w:widowControl w:val="0"/>
              <w:numPr>
                <w:ilvl w:val="0"/>
                <w:numId w:val="19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K tomu je zapotřebí dobře vyhodnotit potřeby zájemce a zmapovat prostředí ambulantní služby k zajištění odpo</w:t>
            </w:r>
            <w:r>
              <w:t>vídající podpory pro poskytovatele a zájemce.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 xml:space="preserve">Dopad na cílové </w:t>
            </w:r>
            <w:r>
              <w:lastRenderedPageBreak/>
              <w:t>skupiny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Zajištění potřebné péče osobám s PAS.</w:t>
            </w:r>
          </w:p>
          <w:p w:rsidR="008149DD" w:rsidRDefault="00EE5874">
            <w:pPr>
              <w:pStyle w:val="Bezmezer"/>
              <w:widowControl w:val="0"/>
            </w:pPr>
            <w:r>
              <w:lastRenderedPageBreak/>
              <w:t>Prevence zdravotních a sociálních rizik pečujících.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Harmonogram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Koordinátor KPSS / město Hlinsko / KÚ Pardubického kraje / poskytovatelé SS 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uživatelů ambulantních služeb s chováním náročným na péči s individuálně zajištěnou podporou s pomocí KÚ PK</w:t>
            </w:r>
          </w:p>
        </w:tc>
      </w:tr>
      <w:tr w:rsidR="008149DD">
        <w:trPr>
          <w:trHeight w:val="288"/>
        </w:trPr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  <w:p w:rsidR="008149DD" w:rsidRDefault="00EE5874">
            <w:pPr>
              <w:pStyle w:val="Bezmezer"/>
              <w:widowControl w:val="0"/>
            </w:pPr>
            <w:r>
              <w:t xml:space="preserve">Rizika </w:t>
            </w:r>
            <w:r>
              <w:t>realizace</w:t>
            </w: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Překážky na straně poskytovatelů (kapacita, neochota, obavy).</w:t>
            </w:r>
          </w:p>
        </w:tc>
      </w:tr>
      <w:tr w:rsidR="008149DD">
        <w:trPr>
          <w:trHeight w:val="288"/>
        </w:trPr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Nedostatečné vyhodnocení potřeb (zájemce i poskytovatele).</w:t>
            </w:r>
          </w:p>
        </w:tc>
      </w:tr>
    </w:tbl>
    <w:p w:rsidR="008149DD" w:rsidRDefault="008149DD"/>
    <w:tbl>
      <w:tblPr>
        <w:tblW w:w="14680" w:type="dxa"/>
        <w:tblInd w:w="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3151"/>
      </w:tblGrid>
      <w:tr w:rsidR="008149DD">
        <w:trPr>
          <w:trHeight w:val="28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2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  <w:sz w:val="26"/>
                <w:szCs w:val="26"/>
              </w:rPr>
              <w:t>Zajistit komunitní pobytové služby pro osoby se zdravotním postižením</w:t>
            </w:r>
          </w:p>
        </w:tc>
      </w:tr>
      <w:tr w:rsidR="008149DD">
        <w:trPr>
          <w:trHeight w:val="76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Zdůvodnění cíle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 xml:space="preserve">V regionu je cílová skupina </w:t>
            </w:r>
            <w:r>
              <w:t>dospělých osob s mentálním / kombinovaným postižením se sdílenou péčí rodiny, terénních a ambulantních služeb (min. 25 osob). V rámci osamostatnění / zajištění pokračování péče (poté, co rodinní pečující již nejsou ze zdravotních důvodů schopni péči zajist</w:t>
            </w:r>
            <w:r>
              <w:t>it) je třeba zmapovat základní potřebnost a vyjednávat vznik adekvátní komunitní pobytové služby proto, aby se tito spoluobčané nemuseli stěhovat do služeb mimo region, a neztráceli tak důležité vztahové vazby a dosavadní způsob života. Pro cílovou skupinu</w:t>
            </w:r>
            <w:r>
              <w:t xml:space="preserve"> osob s vážným duševním onemocněním s potřebou střední / nižší míry podpory je třeba zajistit komunitní pobytovou službu, která jim umožní zotavení a opětovné začlenění do společnosti.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2.1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Připravit záměr a vyjednat vznik pobytové služby pro </w:t>
            </w:r>
            <w:r>
              <w:rPr>
                <w:b/>
                <w:bCs/>
              </w:rPr>
              <w:t>osoby s mentálním / kombinovaným postižením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Ve spolupráci s poskytovateli služeb (zejm. CDS Motýl, sociálně-terapeutické dílny, osobní asistence) zmapovat potřebnost, </w:t>
            </w:r>
          </w:p>
          <w:p w:rsidR="008149DD" w:rsidRDefault="00EE5874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vytvořit záměr, </w:t>
            </w:r>
          </w:p>
          <w:p w:rsidR="008149DD" w:rsidRDefault="00EE5874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a vyjednat vznik potřebné komunitní pobytové služby / </w:t>
            </w:r>
            <w:r>
              <w:t>komplexu služeb (se zřizovateli služeb - poskytování, samosprávami – zázemí a financování, a  odborem sociálních věcí Krajského úřadu Pardubického kraje – zařazení do sítě a financování)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Zajištění pobytové služby pro cílovou </w:t>
            </w:r>
            <w:r>
              <w:t>skupinu v přirozené komunitě, v její dostupnosti.</w:t>
            </w:r>
          </w:p>
          <w:p w:rsidR="008149DD" w:rsidRDefault="00EE5874">
            <w:pPr>
              <w:pStyle w:val="Bezmezer"/>
              <w:widowControl w:val="0"/>
            </w:pPr>
            <w:r>
              <w:t>Osamostatňování cílové skupiny.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/ koordinátor KPSS / poskytovatelé SS / KÚ Pardubického kraje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ORP,</w:t>
            </w:r>
          </w:p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288"/>
        </w:trPr>
        <w:tc>
          <w:tcPr>
            <w:tcW w:w="15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</w:t>
            </w:r>
            <w:r>
              <w:t>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Zařazení kapacit do sítě / registrace služby.</w:t>
            </w:r>
          </w:p>
        </w:tc>
      </w:tr>
      <w:tr w:rsidR="008149DD">
        <w:trPr>
          <w:trHeight w:val="288"/>
        </w:trPr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financování / zázemí</w:t>
            </w:r>
          </w:p>
        </w:tc>
      </w:tr>
      <w:tr w:rsidR="008149DD">
        <w:trPr>
          <w:trHeight w:val="288"/>
        </w:trPr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poskytovatele</w:t>
            </w:r>
          </w:p>
        </w:tc>
      </w:tr>
      <w:tr w:rsidR="008149DD">
        <w:trPr>
          <w:trHeight w:val="288"/>
        </w:trPr>
        <w:tc>
          <w:tcPr>
            <w:tcW w:w="15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Nenajde se poskytovatel</w:t>
            </w:r>
          </w:p>
        </w:tc>
      </w:tr>
      <w:tr w:rsidR="008149DD">
        <w:trPr>
          <w:trHeight w:val="288"/>
        </w:trPr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financí na zřízení a provoz služby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2.2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Vznik komunitní pobytové služby pro</w:t>
            </w:r>
            <w:r>
              <w:rPr>
                <w:b/>
                <w:bCs/>
              </w:rPr>
              <w:t xml:space="preserve"> osoby s duševním onemocněním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 Hlinsku vznikne komunitní pobytová služba domov se zvláštním režimem pro osoby s vážným duševním onemocněním s nižší mírou </w:t>
            </w:r>
            <w:r>
              <w:lastRenderedPageBreak/>
              <w:t xml:space="preserve">podpory. Služba poskytovatele Domov na cestě bude zaměřena na zotavení a znovuzačlenění cílové skupiny do společnosti. </w:t>
            </w:r>
          </w:p>
          <w:p w:rsidR="008149DD" w:rsidRDefault="00EE5874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Bude postav</w:t>
            </w:r>
            <w:r>
              <w:t>en nový objekt (1-2 budovy) s celkovou kapacitou 10 míst (lůžek).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pobytové služby pro cílovou skupinu v přirozené komunitě, v její dostupnosti.</w:t>
            </w:r>
          </w:p>
          <w:p w:rsidR="008149DD" w:rsidRDefault="00EE5874">
            <w:pPr>
              <w:pStyle w:val="Bezmezer"/>
              <w:widowControl w:val="0"/>
            </w:pPr>
            <w:r>
              <w:t>Podpora při zotavení cílové skupiny.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2025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Domov na c</w:t>
            </w:r>
            <w:r>
              <w:t>estě Skuteč / Pardubický kraj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288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Registrované nové místo poskytování služby s danou kapacitou.</w:t>
            </w:r>
          </w:p>
        </w:tc>
      </w:tr>
      <w:tr w:rsidR="008149DD">
        <w:trPr>
          <w:trHeight w:val="288"/>
        </w:trPr>
        <w:tc>
          <w:tcPr>
            <w:tcW w:w="15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Zpoždění realizace – výstavby.</w:t>
            </w:r>
          </w:p>
        </w:tc>
      </w:tr>
      <w:tr w:rsidR="008149DD">
        <w:trPr>
          <w:trHeight w:val="288"/>
        </w:trPr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Veřejné mínění proti plánovanému opatření.</w:t>
            </w:r>
          </w:p>
        </w:tc>
      </w:tr>
    </w:tbl>
    <w:p w:rsidR="008149DD" w:rsidRDefault="008149DD"/>
    <w:tbl>
      <w:tblPr>
        <w:tblW w:w="14620" w:type="dxa"/>
        <w:tblInd w:w="1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13151"/>
      </w:tblGrid>
      <w:tr w:rsidR="008149DD">
        <w:trPr>
          <w:trHeight w:val="28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3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Zajistit advokační a destigmatizační aktivity v oblasti podpory osob se zdravotním postižením</w:t>
            </w:r>
          </w:p>
        </w:tc>
      </w:tr>
      <w:tr w:rsidR="008149DD">
        <w:trPr>
          <w:trHeight w:val="76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Zdůvodnění cíle</w:t>
            </w:r>
          </w:p>
        </w:tc>
        <w:tc>
          <w:tcPr>
            <w:tcW w:w="1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S ohledem na zranitelnost různých skupin osob se zdravotním postižením je třeba podnikat aktivity na podporu oprávněných zájmů těchto skupin obča</w:t>
            </w:r>
            <w:r>
              <w:t>nů a pracovat s veřejným míněním na porozumění jejich potřebám. Každý z nás má právo být přijímán jako plnohodnotný člen společnosti bez ohledu na sociální situaci či zdravotní postižení. Obojí je možno do různé míry kompenzovat tím, jakou pomoc druhým pos</w:t>
            </w:r>
            <w:r>
              <w:t>kytneme a jaké podmínky pro začlenění zajistíme (ve veřejných službách, kultuře, zaměstnání, …).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3.1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Komunitní a zájmové aktivity zohledňují potřeby osob se zdravotním postižením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Ve spolupráci s poskytovateli služeb a </w:t>
            </w:r>
            <w:r>
              <w:t>souvisejících aktivit jednat se samosprávami a realizátory volnočasových a jiných zájmových aktivit o přizpůsobení nabídky dle zjištěných potřeb cílových skupin, zejm. dětí.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Dostupnost komunitních a zájmových aktivit.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MAS Hlinecko / obce území ORP / poskytovatelé SS a SA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osob se zdravotním postižením zapojených do komunitních a zájmových aktivit.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Počet zájmových aktivit, které deklarují </w:t>
            </w:r>
            <w:r>
              <w:t>otevřenost osobám se zdravotním postižením.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Neochota realizátorů aktivit vyjít vstříc potřebám osob se zdravotním postižením.</w:t>
            </w:r>
          </w:p>
          <w:p w:rsidR="008149DD" w:rsidRDefault="008149DD">
            <w:pPr>
              <w:pStyle w:val="Bezmezer"/>
              <w:widowControl w:val="0"/>
            </w:pP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3.2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Využívat kapacity spádového Centra duševního zdraví pro zajištění potřeb osob s duševním </w:t>
            </w:r>
            <w:r>
              <w:rPr>
                <w:b/>
                <w:bCs/>
              </w:rPr>
              <w:t>onemocněním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Pro zajištění specifických potřeb lidí s vážným duševním onemocněním (psycholog, psychoterapeut, adiktolog, …) je třeba, aby stávající poskytovatelé služeb a souvisejících aktivit intenzivně spolupracovali se spádovým CDZ (Chrud</w:t>
            </w:r>
            <w:r>
              <w:t>im).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specifické pomoci potřebné pro zotavení.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Poskytovatelé SS a SA, CDZ Chrudim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Rozpočet CDZ / veřejné zdravotní pojištění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Počet zájemců o </w:t>
            </w:r>
            <w:r>
              <w:t>specifickou podporu CDZ doporučených z regionálních SS a SA.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Neochota poskytovatelů SS a SA doporučovat do CDZ klienty.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Nedostatečná kapacita specialistů v CDZ.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3.3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Podporovat zaměstnávání osob se zdravotním postižením na </w:t>
            </w:r>
            <w:r>
              <w:rPr>
                <w:b/>
                <w:bCs/>
              </w:rPr>
              <w:t>otevřeném trhu práce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V rámci služeb sociální rehabilitace podporovat zaměstnávání osob, a to zejména na otevřeném trhu práce.</w:t>
            </w:r>
          </w:p>
          <w:p w:rsidR="008149DD" w:rsidRDefault="00EE5874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 rámci regionu systematicky a koordinovaně jednat se zaměstnavateli při zajišťování adekvátních pracovních příležitostí a podmínek. </w:t>
            </w:r>
          </w:p>
          <w:p w:rsidR="008149DD" w:rsidRDefault="00EE5874">
            <w:pPr>
              <w:widowControl w:val="0"/>
              <w:numPr>
                <w:ilvl w:val="0"/>
                <w:numId w:val="24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Ve službách duševního zdraví postupovat dle metody IPS (Individual Placement and Support).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Osobno</w:t>
            </w:r>
            <w:r>
              <w:t>stní rozvoj, uplatnění a vyšší míra sociálního začlenění.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Poskytovatelé služeb sociální rehabilitace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Rozpočet SS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Počet osob, které se s podporou SS dostaly na otevřený pracovní </w:t>
            </w:r>
            <w:r>
              <w:t>trh.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Nezájem uživatelů služeb o uplatnění na otevřeném trhu práce.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Nedostupnost adekvátních pracovních míst / neochota zaměstnavatelů přizpůsobit pracovní příležitosti osobám se zdravotním postižením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3.4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Realizovat </w:t>
            </w:r>
            <w:r>
              <w:rPr>
                <w:b/>
                <w:bCs/>
              </w:rPr>
              <w:t>destigmatizační aktivity na podporu různých skupin osob se zdravotním postižením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Poskytovatelé služeb a souvisejících aktivit se zapojí do realizace aktivit přispívajících k porozumění veřejnosti potřebám cílových skupin, které podporují (b</w:t>
            </w:r>
            <w:r>
              <w:t>esedy, festivaly, happeningy, ...).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Větší míra přijetí ze strany komunity, ve které žijí.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Poskytovatelé SS a SA / zástupci cílových skupin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Obecní dotační programy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Dotační </w:t>
            </w:r>
            <w:r>
              <w:t>programy Pardubického kraje</w:t>
            </w:r>
          </w:p>
        </w:tc>
      </w:tr>
      <w:tr w:rsidR="008149DD">
        <w:trPr>
          <w:trHeight w:val="288"/>
        </w:trPr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realizovaných destigmatizačních aktivit v území.</w:t>
            </w:r>
          </w:p>
        </w:tc>
      </w:tr>
      <w:tr w:rsidR="008149DD">
        <w:trPr>
          <w:trHeight w:val="288"/>
        </w:trPr>
        <w:tc>
          <w:tcPr>
            <w:tcW w:w="14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Malé destigmatizační úsilí ze strany poskytovatelů SS a SA.</w:t>
            </w:r>
          </w:p>
        </w:tc>
      </w:tr>
      <w:tr w:rsidR="008149DD">
        <w:trPr>
          <w:trHeight w:val="288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Malá návštěvnost aktivit (nevhodný formát aktivity, nedostatečná </w:t>
            </w:r>
            <w:r>
              <w:t>propagace).</w:t>
            </w:r>
          </w:p>
        </w:tc>
      </w:tr>
    </w:tbl>
    <w:p w:rsidR="008149DD" w:rsidRDefault="00EE5874">
      <w:r>
        <w:br w:type="page"/>
      </w:r>
    </w:p>
    <w:bookmarkStart w:id="35" w:name="__RefHeading___Toc5927_3491215576"/>
    <w:bookmarkEnd w:id="35"/>
    <w:p w:rsidR="008149DD" w:rsidRDefault="00EE5874">
      <w:pPr>
        <w:pStyle w:val="Nadpis2"/>
        <w:rPr>
          <w:rFonts w:ascii="Calibri" w:hAnsi="Calibri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-892175</wp:posOffset>
                </wp:positionV>
                <wp:extent cx="7535545" cy="10664190"/>
                <wp:effectExtent l="0" t="0" r="0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20" cy="1066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stroked="f" o:allowincell="f" style="position:absolute;margin-left:-69.25pt;margin-top:-70.25pt;width:593.3pt;height:839.6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8"/>
          <w:szCs w:val="28"/>
        </w:rPr>
        <w:t>PO4 - Děti a rodiny</w:t>
      </w:r>
    </w:p>
    <w:p w:rsidR="008149DD" w:rsidRDefault="00EE5874">
      <w:pPr>
        <w:rPr>
          <w:rFonts w:ascii="Calibri" w:hAnsi="Calibri"/>
        </w:rPr>
      </w:pPr>
      <w:r>
        <w:t>Tato oblast u</w:t>
      </w:r>
      <w:bookmarkStart w:id="36" w:name="_Toc1986340211"/>
      <w:bookmarkEnd w:id="36"/>
      <w:r>
        <w:t xml:space="preserve">pravuje rozvojové cíle prioritní oblasti týkající se dětí a rodin. Prioritní oblast se týká dětí od narození do dospělosti a mladých dospělých i dětí žijících v náhradní (rodinné či institucionální) péči, </w:t>
      </w:r>
      <w:r>
        <w:t xml:space="preserve">rodinného systému včetně mezigeneračních vztahů. Poslední léta přinesla dětem i dospělým zvýšenou míru osamění, obav a existenčních nejistot, které dopadají na situaci rodin a všechny tyto jevy mají neblahý dopad na duševní pohodu dětí. Včasná a komplexní </w:t>
      </w:r>
      <w:r>
        <w:t>podpora může tento negativní trend zvrátit.</w:t>
      </w:r>
    </w:p>
    <w:tbl>
      <w:tblPr>
        <w:tblW w:w="14715" w:type="dxa"/>
        <w:tblInd w:w="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15"/>
      </w:tblGrid>
      <w:tr w:rsidR="008149DD">
        <w:tc>
          <w:tcPr>
            <w:tcW w:w="1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Cíl 1  Aktivně vyhledávat ohrožené děti a rodiny, mapovat a zabezpečovat jejich potřeby v jejich přirozeném prostředí.</w:t>
            </w:r>
          </w:p>
        </w:tc>
      </w:tr>
      <w:tr w:rsidR="008149DD">
        <w:tc>
          <w:tcPr>
            <w:tcW w:w="14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Cíl 2  Rozvíjet zájmové, preventivní a poradenské aktivity pro děti a rodiny</w:t>
            </w:r>
          </w:p>
        </w:tc>
      </w:tr>
    </w:tbl>
    <w:p w:rsidR="008149DD" w:rsidRDefault="008149DD"/>
    <w:tbl>
      <w:tblPr>
        <w:tblW w:w="14755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5"/>
        <w:gridCol w:w="13150"/>
      </w:tblGrid>
      <w:tr w:rsidR="008149DD">
        <w:trPr>
          <w:trHeight w:val="52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left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PO4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 xml:space="preserve">Cíle v </w:t>
            </w:r>
            <w:r>
              <w:rPr>
                <w:b/>
                <w:color w:val="FFFFFF"/>
                <w:sz w:val="40"/>
                <w:szCs w:val="40"/>
              </w:rPr>
              <w:t>prioritní oblasti Děti a rodiny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1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Aktivně vyhledávat ohrožené děti a rodiny, mapovat a zabezpečovat jejich potřeby v jejich přirozeném prostředí.</w:t>
            </w:r>
          </w:p>
        </w:tc>
      </w:tr>
      <w:tr w:rsidR="008149DD">
        <w:trPr>
          <w:trHeight w:val="85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Zdůvodnění cíle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 xml:space="preserve">Včasný záchyt a koordinovaná pomoc dětem a rodinám v nepříznivé sociální situaci s </w:t>
            </w:r>
            <w:r>
              <w:t>využitím participativních nástrojů, multidisciplinarity a mezioborové spolupráce je efektivní a udržitelnou cestou pro nastartování zdravého vývoje dětí a minimalizace rizik v jejich životě. Je potřeba věnovat pozornost záchytu dětí v riziku ve všech přiro</w:t>
            </w:r>
            <w:r>
              <w:t>zených prostředích (rodina, škola, ulice, kyberprostor) a maximálně využít potenciál rodiny k podpoře jejich členů.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1.1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Aktivní vyhledávání cílových skupin v území</w:t>
            </w:r>
          </w:p>
        </w:tc>
      </w:tr>
      <w:tr w:rsidR="008149DD">
        <w:trPr>
          <w:trHeight w:val="172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jc w:val="left"/>
              <w:rPr>
                <w:rFonts w:ascii="Calibri" w:hAnsi="Calibri"/>
              </w:rPr>
            </w:pPr>
            <w:r>
              <w:t>Viz PO2 opatření 1.1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1.2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Realizovat kontaktní práci s </w:t>
            </w:r>
            <w:r>
              <w:rPr>
                <w:b/>
                <w:bCs/>
              </w:rPr>
              <w:t>neorganizovanou mládeží v přirozeném prostředí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Zaměřit pozornost na navázání kontaktu s dospívající mládeží, která zpravidla nevyužívá organizované formy zájmových činností. </w:t>
            </w:r>
          </w:p>
          <w:p w:rsidR="008149DD" w:rsidRDefault="00EE5874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Depistáž v přirozeném prostředí (ulice, parky, sociální sítě, školní prostředí) </w:t>
            </w:r>
          </w:p>
          <w:p w:rsidR="008149DD" w:rsidRDefault="00EE5874">
            <w:pPr>
              <w:widowControl w:val="0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a nízkoprahová sociální práce s využitím sociální pedagogiky. </w:t>
            </w:r>
          </w:p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>Opatření ladit ve spolupráci se stávajícími poskytovateli služeb a souvisejících aktivit. V případě zřizování no</w:t>
            </w:r>
            <w:r>
              <w:t>vé služby, rozšiřování kapacit, jednat s odborem sociálních věcí KÚ Pardubického kraje.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Včasný záchyt dětí a mladých v riziku.</w:t>
            </w:r>
          </w:p>
          <w:p w:rsidR="008149DD" w:rsidRDefault="00EE5874">
            <w:pPr>
              <w:pStyle w:val="Bezmezer"/>
              <w:widowControl w:val="0"/>
            </w:pPr>
            <w:r>
              <w:t>Podpora v obtížných situacích během dospívání.</w:t>
            </w:r>
          </w:p>
          <w:p w:rsidR="008149DD" w:rsidRDefault="00EE5874">
            <w:pPr>
              <w:pStyle w:val="Bezmezer"/>
              <w:widowControl w:val="0"/>
            </w:pPr>
            <w:r>
              <w:t xml:space="preserve">Mapování potřeb a trendů cílové skupiny v přirozeném </w:t>
            </w:r>
            <w:r>
              <w:t>prostředí.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2025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/ poskytovatelé SS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ORP,</w:t>
            </w:r>
          </w:p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  <w:p w:rsidR="008149DD" w:rsidRDefault="00EE5874">
            <w:pPr>
              <w:pStyle w:val="Bezmezer"/>
              <w:widowControl w:val="0"/>
            </w:pPr>
            <w:r>
              <w:t xml:space="preserve">příp. OPZ+ 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realizátora kontaktní práce s mládeží / pravidelná provozní doba / počet prvokontaktů.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Nezajištění realizátora.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Nezajištění financování.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1.3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Podporovat participativní nástroje řešení situace dítěte a rodiny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</w:pPr>
            <w:r>
              <w:t xml:space="preserve">Při řešení nepříznivé situace dítěte a rodiny usilovat o co největší účast dítěte a členů rodiny. Využívat potenciálu širší rodiny a blízkého sociálního okolí před intenzivním zapojením sociálních služeb. </w:t>
            </w:r>
          </w:p>
          <w:p w:rsidR="008149DD" w:rsidRDefault="00EE5874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left"/>
            </w:pPr>
            <w:r>
              <w:t>Využívat nabídky interaktivních případových konfer</w:t>
            </w:r>
            <w:r>
              <w:t>encí (setkání) pro děti (IPK),</w:t>
            </w:r>
          </w:p>
          <w:p w:rsidR="008149DD" w:rsidRDefault="00EE5874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left"/>
            </w:pPr>
            <w:r>
              <w:t>a rodinných konferencí (RK) nejen k podpoře dětí a rodičů, ale i k podpoře prarodičů a neformálních pečovatelů.</w:t>
            </w:r>
          </w:p>
          <w:p w:rsidR="008149DD" w:rsidRDefault="00EE5874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left"/>
            </w:pPr>
            <w:r>
              <w:t>Zvýšit dostupnost těchto nástrojů v regionu (obce, školy, zájmové aktivity).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Dítě se v </w:t>
            </w:r>
            <w:r>
              <w:t>co největší míře podílí na řešení své situace.</w:t>
            </w:r>
          </w:p>
          <w:p w:rsidR="008149DD" w:rsidRDefault="00EE5874">
            <w:pPr>
              <w:pStyle w:val="Bezmezer"/>
              <w:widowControl w:val="0"/>
            </w:pPr>
            <w:r>
              <w:t>Rodina zvládne řešit svou situaci svépomocně a s pomocí nejbližšího okolí, s minimálním zapojením odborné pomoci.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 / poskytovatelé SS a SA / školy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 xml:space="preserve">Zdroje </w:t>
            </w:r>
            <w:r>
              <w:t>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</w:t>
            </w:r>
          </w:p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  <w:p w:rsidR="008149DD" w:rsidRDefault="00EE5874">
            <w:pPr>
              <w:pStyle w:val="Bezmezer"/>
              <w:widowControl w:val="0"/>
            </w:pPr>
            <w:r>
              <w:t>RK centrum (bezplatně)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realizovaných IPK / RK v území</w:t>
            </w:r>
          </w:p>
        </w:tc>
      </w:tr>
      <w:tr w:rsidR="008149DD">
        <w:trPr>
          <w:trHeight w:val="288"/>
        </w:trPr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Bude kladen malý důraz ze strany jednotlivých aktérů na využití těchto participativních nástrojů.</w:t>
            </w:r>
          </w:p>
        </w:tc>
      </w:tr>
      <w:tr w:rsidR="008149DD">
        <w:trPr>
          <w:trHeight w:val="288"/>
        </w:trPr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Aktivity </w:t>
            </w:r>
            <w:r>
              <w:t>nebudou realizovat proškolení facilitátoři IPK / koordinátoři RK.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1.4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Zajistit regionální působnost týmu včasné intervence pro děti v riziku rozvoje duševního onemocnění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 souladu se záměrem krajské reformy péče o duševní zdraví, v návaznosti na krajský systémový projekt Rozvoj služeb duševního zdraví v Pardubickém kraji </w:t>
            </w:r>
          </w:p>
          <w:p w:rsidR="008149DD" w:rsidRDefault="00EE5874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zajistit regionální působnost multidisciplinárního týmu včasné intervence pro děti a dospívající v riz</w:t>
            </w:r>
            <w:r>
              <w:t>iku rozvoje duševního onemocnění.</w:t>
            </w:r>
          </w:p>
          <w:p w:rsidR="008149DD" w:rsidRDefault="00EE5874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Přitom spolupracovat se školami, školskými poradenskými pracovišti, poskytovateli zdravotních a sociálních služeb a odborem sociálních věcí, školství a zdravotnictví města Hlinsko.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Včasná a </w:t>
            </w:r>
            <w:r>
              <w:t>komplexní pomoc dětem a dospívajícím v riziku rozvoje duševního onemocnění.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 / poskytovatelé SS / poskytovatelé zdravotních služeb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  <w:p w:rsidR="008149DD" w:rsidRDefault="00EE5874">
            <w:pPr>
              <w:pStyle w:val="Bezmezer"/>
              <w:widowControl w:val="0"/>
            </w:pPr>
            <w:r>
              <w:t>Obce v území ORP</w:t>
            </w:r>
          </w:p>
          <w:p w:rsidR="008149DD" w:rsidRDefault="00EE5874">
            <w:pPr>
              <w:pStyle w:val="Bezmezer"/>
              <w:widowControl w:val="0"/>
            </w:pPr>
            <w:r>
              <w:t>veřejné zdravotní po</w:t>
            </w:r>
            <w:r>
              <w:t>jištění</w:t>
            </w:r>
          </w:p>
        </w:tc>
      </w:tr>
      <w:tr w:rsidR="008149DD">
        <w:trPr>
          <w:trHeight w:val="288"/>
        </w:trPr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škol z regionu zapojených do spolupráce.</w:t>
            </w:r>
          </w:p>
        </w:tc>
      </w:tr>
      <w:tr w:rsidR="008149DD">
        <w:trPr>
          <w:trHeight w:val="288"/>
        </w:trPr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dětí z území v péči týmu včasné intervence.</w:t>
            </w:r>
          </w:p>
        </w:tc>
      </w:tr>
      <w:tr w:rsidR="008149DD">
        <w:trPr>
          <w:trHeight w:val="288"/>
        </w:trPr>
        <w:tc>
          <w:tcPr>
            <w:tcW w:w="1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Nedostatečná kapacita týmu pro rozšíření působnosti do regionu.</w:t>
            </w:r>
          </w:p>
        </w:tc>
      </w:tr>
    </w:tbl>
    <w:p w:rsidR="008149DD" w:rsidRDefault="008149DD"/>
    <w:tbl>
      <w:tblPr>
        <w:tblW w:w="14725" w:type="dxa"/>
        <w:tblInd w:w="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3150"/>
      </w:tblGrid>
      <w:tr w:rsidR="008149DD">
        <w:trPr>
          <w:trHeight w:val="28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2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Rozvíjet zájmové, preventivní a </w:t>
            </w:r>
            <w:r>
              <w:rPr>
                <w:b/>
                <w:bCs/>
                <w:sz w:val="26"/>
                <w:szCs w:val="26"/>
              </w:rPr>
              <w:t>poradenské aktivity pro děti a rodiny</w:t>
            </w:r>
          </w:p>
        </w:tc>
      </w:tr>
      <w:tr w:rsidR="008149DD">
        <w:trPr>
          <w:trHeight w:val="768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Zdůvodnění cíle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  <w:rPr>
                <w:rFonts w:ascii="Calibri" w:hAnsi="Calibri"/>
              </w:rPr>
            </w:pPr>
            <w:r>
              <w:t>Pro prevenci rizik sociálního vyloučení a vzniku duševních obtíží je třeba zajistit portfolio dobře dostupných zájmových programů a kroužků pro děti i dospělé všech generací, rozvíjet komunitní aktivity a věnovat zvýšenou pozornost tématu trávení volného č</w:t>
            </w:r>
            <w:r>
              <w:t xml:space="preserve">asu online, který více nahrazuje osobní kontakt. Kromě toho je třeba dětem a dospívajícím zpřístupnit bezpečné skupinové aktivity osobnostního rozvoje, které budou posilovat jejich silné stránky a celkovou odolnost ke zvládání obtížné životní situace. Pro </w:t>
            </w:r>
            <w:r>
              <w:t xml:space="preserve">řešení akutních krizových situací je pak nezbytné zajištění místně a časově dostupné odborné psychosociální pomoci. 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2.1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Zvyšovat dostupnost zájmových programů a kroužků v regionu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Zmapovat a informovat širokou veřejnost o dostupných zájmových programech a kroužcích v území. </w:t>
            </w:r>
          </w:p>
          <w:p w:rsidR="008149DD" w:rsidRDefault="00EE5874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Zaměřit se na dostupnost aktivit pro rodiny s dětmi se zdravotním postižením, nízkopříjmové rodiny.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Dostupnost volnočasových aktivit, </w:t>
            </w:r>
            <w:r>
              <w:t>rozvoj dovedností a sociální začlenění.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MAS Hlinecko / obce území ORP / poskytovatelé SS a SA / realizátoři zájmových programů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OPZ+</w:t>
            </w:r>
          </w:p>
          <w:p w:rsidR="008149DD" w:rsidRDefault="00EE5874">
            <w:pPr>
              <w:pStyle w:val="Bezmezer"/>
              <w:widowControl w:val="0"/>
            </w:pPr>
            <w:r>
              <w:t>Obce území ORP</w:t>
            </w:r>
          </w:p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  <w:p w:rsidR="008149DD" w:rsidRDefault="00EE5874">
            <w:pPr>
              <w:pStyle w:val="Bezmezer"/>
              <w:widowControl w:val="0"/>
            </w:pPr>
            <w:r>
              <w:t>MŠMT</w:t>
            </w:r>
          </w:p>
        </w:tc>
      </w:tr>
      <w:tr w:rsidR="008149DD">
        <w:trPr>
          <w:trHeight w:val="288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Vytvořený i</w:t>
            </w:r>
            <w:r>
              <w:t>nformativní výstup o dostupných zájmových programech a kroužcích v území</w:t>
            </w:r>
          </w:p>
        </w:tc>
      </w:tr>
      <w:tr w:rsidR="008149DD">
        <w:trPr>
          <w:trHeight w:val="28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dětí se zdravotním postižením začleněných do zájmových programů/kroužků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Neochota realizátorů aktivit vyjít vstříc potřebám osob se zdravotním postižením.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2.2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Zajistit preventivní aktivity v oblasti trávení volného času online a kyberbezpečnosti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Pro širokou veřejnost a napříč věkovými skupinami realizovat v území preventivní aktivity k tématu trávení volného času online a kyberbezpeč</w:t>
            </w:r>
            <w:r>
              <w:t xml:space="preserve">nosti. Pro porozumění dopadu na vývoj dítěte, vztahy s vrstevníky, v rodině či na práci s informacemi, pro porozumění a osvojení si zásad kyberbezpečnosti. </w:t>
            </w:r>
          </w:p>
          <w:p w:rsidR="008149DD" w:rsidRDefault="00EE5874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Při realizaci aktivit spolupracovat i se školami a komunitními centry.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Udržitelné používání informačních technologií (minimalizace negativních dopadů na zdraví a sociální situaci).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MAS Hlinecko / obce území ORP / poskytovatelé SS a SA/ Pardubický kraj</w:t>
            </w:r>
          </w:p>
        </w:tc>
      </w:tr>
      <w:tr w:rsidR="008149DD">
        <w:trPr>
          <w:trHeight w:val="96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MAP</w:t>
            </w:r>
          </w:p>
        </w:tc>
      </w:tr>
      <w:tr w:rsidR="008149DD">
        <w:trPr>
          <w:trHeight w:val="96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Pardubický </w:t>
            </w:r>
            <w:r>
              <w:t>kraj</w:t>
            </w:r>
          </w:p>
        </w:tc>
      </w:tr>
      <w:tr w:rsidR="008149DD">
        <w:trPr>
          <w:trHeight w:val="96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v území ORP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preventivních aktivit k tématu / počet účastníků.</w:t>
            </w:r>
          </w:p>
        </w:tc>
      </w:tr>
      <w:tr w:rsidR="008149DD">
        <w:trPr>
          <w:trHeight w:val="288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Nevhodně zvolený formát akce.</w:t>
            </w:r>
          </w:p>
        </w:tc>
      </w:tr>
      <w:tr w:rsidR="008149DD">
        <w:trPr>
          <w:trHeight w:val="28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Nedostatečný zájem ze strany veřejnosti.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Opatření 2.3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Zvýšit dostupnost skupinových sebezkušenostních </w:t>
            </w:r>
            <w:r>
              <w:rPr>
                <w:b/>
                <w:bCs/>
              </w:rPr>
              <w:t>aktivit pro děti a dospívající v riziku vzniku duševních obtíží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Zajistit pro děti a dospívající, kteří se nacházejí v obtížných životních situacích (rozchod rodičů,  nespokojenost se svou situací, potřebou porozumět sobě samému, svému </w:t>
            </w:r>
            <w:r>
              <w:t>prožívání, hodnotě svého života, …)  dostupnost skupinových aktivit osobnostního rozvoje jako prevenci rozvoje duševních obtíží.</w:t>
            </w:r>
          </w:p>
          <w:p w:rsidR="008149DD" w:rsidRDefault="00EE5874">
            <w:pPr>
              <w:widowControl w:val="0"/>
              <w:numPr>
                <w:ilvl w:val="0"/>
                <w:numId w:val="31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Vycházet přitom z aktuální nabídky poskytovatelů.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Sebepoznání, seberegulace, prevence rozvoje </w:t>
            </w:r>
            <w:r>
              <w:t>duševních obtíží.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Poskytovatelé SS / + zajištění informovanosti: koordinátor KPSS / obce v území / poskytovatelé SS a SA / školy</w:t>
            </w:r>
          </w:p>
        </w:tc>
      </w:tr>
      <w:tr w:rsidR="008149DD">
        <w:trPr>
          <w:trHeight w:val="96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Rozpočtové prostředky SS</w:t>
            </w:r>
          </w:p>
        </w:tc>
      </w:tr>
      <w:tr w:rsidR="008149DD">
        <w:trPr>
          <w:trHeight w:val="96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</w:t>
            </w:r>
          </w:p>
        </w:tc>
      </w:tr>
      <w:tr w:rsidR="008149DD">
        <w:trPr>
          <w:trHeight w:val="96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Pardubický kraj</w:t>
            </w:r>
          </w:p>
        </w:tc>
      </w:tr>
      <w:tr w:rsidR="008149DD">
        <w:trPr>
          <w:trHeight w:val="144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 xml:space="preserve">Kritéria </w:t>
            </w:r>
            <w:r>
              <w:t>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Počet (sérií) sebezkušenostních skupin / počet účastníků.</w:t>
            </w:r>
          </w:p>
        </w:tc>
      </w:tr>
      <w:tr w:rsidR="008149DD">
        <w:trPr>
          <w:trHeight w:val="288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K dětem a dospívajícím se nedostanou informace – špatná forma informování.</w:t>
            </w:r>
          </w:p>
        </w:tc>
      </w:tr>
      <w:tr w:rsidR="008149DD">
        <w:trPr>
          <w:trHeight w:val="28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financí / lektorů pro vedení skupin.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2.4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widowControl w:val="0"/>
              <w:spacing w:after="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Zajistit základní terapeutickou</w:t>
            </w:r>
            <w:r>
              <w:rPr>
                <w:b/>
                <w:bCs/>
              </w:rPr>
              <w:t xml:space="preserve"> podporu a odborné poradenství pro jednotlivce a rodiny v krizi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Zajistit v Hlinsku vznik detašovaného pracoviště chrudimského krizového centra (KC) pro spádovou oblast Hlinecka. To má dle údajů poskytovatele cca 1/5 uživatelů z území ORP Hlinsko. </w:t>
            </w:r>
          </w:p>
          <w:p w:rsidR="008149DD" w:rsidRDefault="00EE5874">
            <w:pPr>
              <w:widowControl w:val="0"/>
              <w:numPr>
                <w:ilvl w:val="0"/>
                <w:numId w:val="32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Vyjednat a zabezpečit s poskytovatelem a samosprávou podmínky pro poskyt</w:t>
            </w:r>
            <w:r>
              <w:t xml:space="preserve">ování služeb krizové pomoci a odborného sociálního poradenství. </w:t>
            </w:r>
          </w:p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>Pracoviště by bylo dostupné dětem a dospělým všech generací a mj. by pomáhalo lidem s tématy jako rodinné a vztahové problémy, výchova, zkušenost s násilím, ztráta blízkého aj. a kromě pomoci</w:t>
            </w:r>
            <w:r>
              <w:t xml:space="preserve"> v krizi a rodinného poradenství by poskytovalo i krátkodobou terapii pro zvládnutí a zorientování se v náročné životní situaci.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Zorientování se v náročné životní situaci.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2023 - 2025</w:t>
            </w:r>
          </w:p>
        </w:tc>
      </w:tr>
      <w:tr w:rsidR="008149DD">
        <w:trPr>
          <w:trHeight w:val="288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/ Centru</w:t>
            </w:r>
            <w:r>
              <w:t>m J. J. Pestalozziho</w:t>
            </w:r>
          </w:p>
        </w:tc>
      </w:tr>
      <w:tr w:rsidR="008149DD">
        <w:trPr>
          <w:trHeight w:val="288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Stávající rozpočet poskytovatele</w:t>
            </w:r>
          </w:p>
        </w:tc>
      </w:tr>
      <w:tr w:rsidR="008149DD">
        <w:trPr>
          <w:trHeight w:val="28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  <w:rPr>
                <w:shd w:val="clear" w:color="auto" w:fill="EBE582"/>
              </w:rPr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rPr>
                <w:shd w:val="clear" w:color="auto" w:fill="EBE582"/>
              </w:rPr>
            </w:pPr>
            <w:r>
              <w:t>+ spoluúčast obcí z území ORP + podpora ze strany města Hlinska při zajištění pracoviště</w:t>
            </w:r>
          </w:p>
        </w:tc>
      </w:tr>
      <w:tr w:rsidR="008149DD">
        <w:trPr>
          <w:trHeight w:val="144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Vznik detašovaného pracoviště s pravidelnou provozní dobou</w:t>
            </w:r>
          </w:p>
        </w:tc>
      </w:tr>
      <w:tr w:rsidR="008149DD">
        <w:trPr>
          <w:trHeight w:val="144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Počet </w:t>
            </w:r>
            <w:r>
              <w:t>uživatelů KC z území ORP Hlinsko (na pracovištích Chrudim + Hlinsko) stejný nebo vyšší než před zřízením detašovaného pracoviště.</w:t>
            </w:r>
          </w:p>
        </w:tc>
      </w:tr>
      <w:tr w:rsidR="008149DD">
        <w:trPr>
          <w:trHeight w:val="288"/>
        </w:trPr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Nebude shoda na podmínkách poskytování služby v Hlinsku.</w:t>
            </w:r>
          </w:p>
        </w:tc>
      </w:tr>
      <w:tr w:rsidR="008149DD">
        <w:trPr>
          <w:trHeight w:val="288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Uživatelé z území budou nadále využívat primárně </w:t>
            </w:r>
            <w:r>
              <w:t>pracoviště v Chrudimi (nedostatečně využitá kapacita pracoviště).</w:t>
            </w:r>
          </w:p>
        </w:tc>
      </w:tr>
    </w:tbl>
    <w:p w:rsidR="008149DD" w:rsidRDefault="00EE5874">
      <w:r>
        <w:br w:type="page"/>
      </w:r>
    </w:p>
    <w:bookmarkStart w:id="37" w:name="__RefHeading___Toc5929_3491215576"/>
    <w:bookmarkEnd w:id="37"/>
    <w:p w:rsidR="008149DD" w:rsidRDefault="00EE5874">
      <w:pPr>
        <w:pStyle w:val="Nadpis2"/>
        <w:rPr>
          <w:rFonts w:ascii="Calibri" w:hAnsi="Calibri"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-892175</wp:posOffset>
                </wp:positionV>
                <wp:extent cx="7535545" cy="10664190"/>
                <wp:effectExtent l="0" t="0" r="0" b="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20" cy="1066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stroked="f" o:allowincell="f" style="position:absolute;margin-left:-69.25pt;margin-top:-70.25pt;width:593.3pt;height:839.6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Calibri" w:hAnsi="Calibri"/>
          <w:sz w:val="28"/>
          <w:szCs w:val="28"/>
        </w:rPr>
        <w:t>PO5 – Osoby v krizi / vážně ohrožené sociálním vyloučením</w:t>
      </w:r>
    </w:p>
    <w:p w:rsidR="008149DD" w:rsidRDefault="00EE5874">
      <w:pPr>
        <w:rPr>
          <w:rFonts w:ascii="Calibri" w:hAnsi="Calibri"/>
        </w:rPr>
      </w:pPr>
      <w:r>
        <w:t>Tato oblast u</w:t>
      </w:r>
      <w:bookmarkStart w:id="38" w:name="_Toc19863402111"/>
      <w:bookmarkEnd w:id="38"/>
      <w:r>
        <w:t xml:space="preserve">pravuje rozvojové cíle prioritní oblasti týkající se osob ocitajících se v krizové situaci a lidí vážně ohrožených </w:t>
      </w:r>
      <w:r>
        <w:t>sociálních vyloučením. Jedná se o paletu cílových skupin, z různých socioekonomických vrstev.  Od lidí, kteří se náhle ocitli v obtížné životní situaci, která na ně dopadá v takové intenzitě, že má podstatný vliv na jejich duševní pohodu a sociální stabili</w:t>
      </w:r>
      <w:r>
        <w:t>tu (osoby v krizi), po lidi ohrožené ztrátou bydlení, závislostmi, trestnou činností jiné osoby apod.</w:t>
      </w:r>
    </w:p>
    <w:tbl>
      <w:tblPr>
        <w:tblW w:w="14700" w:type="dxa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700"/>
      </w:tblGrid>
      <w:tr w:rsidR="008149DD">
        <w:tc>
          <w:tcPr>
            <w:tcW w:w="1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9DD" w:rsidRDefault="00EE5874">
            <w:pPr>
              <w:widowControl w:val="0"/>
              <w:spacing w:after="0" w:line="0" w:lineRule="atLeast"/>
            </w:pPr>
            <w:r>
              <w:rPr>
                <w:b/>
                <w:bCs/>
              </w:rPr>
              <w:t>Cíl 1  Zajistit spektrum krizových služeb v území.</w:t>
            </w:r>
          </w:p>
        </w:tc>
      </w:tr>
    </w:tbl>
    <w:p w:rsidR="008149DD" w:rsidRDefault="008149DD"/>
    <w:tbl>
      <w:tblPr>
        <w:tblW w:w="14740" w:type="dxa"/>
        <w:tblInd w:w="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13150"/>
      </w:tblGrid>
      <w:tr w:rsidR="008149DD">
        <w:trPr>
          <w:trHeight w:val="52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left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PO5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jc w:val="center"/>
              <w:rPr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Cíle v prioritní oblasti Osoby v krizi / vážně ohrožené sociálním vyloučením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rPr>
                <w:b/>
                <w:sz w:val="26"/>
                <w:szCs w:val="26"/>
              </w:rPr>
              <w:t>Cíl 1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E5FF"/>
            <w:vAlign w:val="bottom"/>
          </w:tcPr>
          <w:p w:rsidR="008149DD" w:rsidRDefault="00EE5874">
            <w:pPr>
              <w:widowControl w:val="0"/>
              <w:spacing w:after="0" w:line="0" w:lineRule="atLeas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Zajistit </w:t>
            </w:r>
            <w:r>
              <w:rPr>
                <w:b/>
                <w:bCs/>
                <w:sz w:val="26"/>
                <w:szCs w:val="26"/>
              </w:rPr>
              <w:t>spektrum krizových služeb v území</w:t>
            </w:r>
          </w:p>
        </w:tc>
      </w:tr>
      <w:tr w:rsidR="008149DD">
        <w:trPr>
          <w:trHeight w:val="85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Zdůvodnění cíle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  <w:spacing w:line="0" w:lineRule="atLeast"/>
            </w:pPr>
            <w:r>
              <w:t>Pro pomoc lidem, kteří se z různých důvodů ocitli v krizové situaci je potřeba zajistit základní spektrum krizových služeb v území. Pokud nestojí okolnosti proti tomu, je důležité minimalizovat životní změ</w:t>
            </w:r>
            <w:r>
              <w:t>ny a zajistit pomoc blízko svých dosavadních vazeb, zaměstnání, ve známém prostředí. Jako klíčové se ukazuje zajištění rychlé psychosociální podpory, která slouží ke zmírnění naléhavosti situace a základnímu zorientování v ní. Pro lidi, kteří se náhle ocit</w:t>
            </w:r>
            <w:r>
              <w:t>li bez bydlení, a nemají možnost situaci přechodně vyřešit vlastními silami /s pomocí přirozených zdrojů, je zásadní pomocí zajištění dočasného krizového bydlení. Pro ty, kteří se již bez stabilního bydlení ocitli, je pak důležité udržovat hygienický stand</w:t>
            </w:r>
            <w:r>
              <w:t>ard proto, aby nepřišli o zaměstnání / sociální status.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Opatření 1.1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Zajistit vznik pracoviště krizové pomoci v Hlinsku</w:t>
            </w:r>
          </w:p>
        </w:tc>
      </w:tr>
      <w:tr w:rsidR="008149DD">
        <w:trPr>
          <w:trHeight w:val="172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jc w:val="left"/>
              <w:rPr>
                <w:rFonts w:ascii="Calibri" w:hAnsi="Calibri"/>
              </w:rPr>
            </w:pPr>
            <w:r>
              <w:t>Viz PO4 opatření 2.4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1.2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Zajistit vznik krizového bydlení v území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Ve spolupráci se samosprávami, poskytovateli služeb a souvisejících aktivit (vlastnících bytové prostory) </w:t>
            </w:r>
          </w:p>
          <w:p w:rsidR="008149DD" w:rsidRDefault="00EE5874">
            <w:pPr>
              <w:widowControl w:val="0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zmapovat možnosti zajištění a provozování přechodného krizového bydlení pro jednotlivce / rodiny, kteří se ocitli v krizové situaci v důsledku akutní</w:t>
            </w:r>
            <w:r>
              <w:t xml:space="preserve"> ztráty bydlení.</w:t>
            </w:r>
          </w:p>
          <w:p w:rsidR="008149DD" w:rsidRDefault="00EE5874">
            <w:pPr>
              <w:widowControl w:val="0"/>
              <w:numPr>
                <w:ilvl w:val="0"/>
                <w:numId w:val="33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Definovat podmínky pro využívání krizového bydlení.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základních životních potřeb.</w:t>
            </w:r>
          </w:p>
          <w:p w:rsidR="008149DD" w:rsidRDefault="00EE5874">
            <w:pPr>
              <w:pStyle w:val="Bezmezer"/>
              <w:widowControl w:val="0"/>
            </w:pPr>
            <w:r>
              <w:t>Prevence bezdomovectví a souvisejících jevů / rozdělení rodiny.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 xml:space="preserve">Obce území ORP / </w:t>
            </w:r>
            <w:r>
              <w:t>koordinátor KPSS / poskytovatelé SS a SA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Obce území ORP</w:t>
            </w:r>
          </w:p>
        </w:tc>
      </w:tr>
      <w:tr w:rsidR="008149DD">
        <w:trPr>
          <w:trHeight w:val="96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Zmapování možností zajištění (obytné jednotky) a provozování (realizátor) přechodného krizového bydlené.</w:t>
            </w:r>
          </w:p>
        </w:tc>
      </w:tr>
      <w:tr w:rsidR="008149DD">
        <w:trPr>
          <w:trHeight w:val="9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Definování podmínek pro využívání krizového bydlení.</w:t>
            </w:r>
          </w:p>
        </w:tc>
      </w:tr>
      <w:tr w:rsidR="008149DD">
        <w:trPr>
          <w:trHeight w:val="9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provozu krizového bydlení.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Obytné jednotky vhodné pro krizové bydlení nebudou v ORP k dispozici.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Nedojde k dohodě s vlastníkem nad podmínkami provozování krizového bydlení.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8149DD" w:rsidRDefault="00EE5874">
            <w:pPr>
              <w:pStyle w:val="Bezmezer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Opatření 1.3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bottom"/>
          </w:tcPr>
          <w:p w:rsidR="008149DD" w:rsidRDefault="00EE5874">
            <w:pPr>
              <w:pStyle w:val="Bezmez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Zajistit vznik krizového hygienického servisu v Hlinsku 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lastRenderedPageBreak/>
              <w:t>Popis opatření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widowControl w:val="0"/>
              <w:spacing w:after="0" w:line="240" w:lineRule="auto"/>
              <w:jc w:val="left"/>
              <w:rPr>
                <w:rFonts w:ascii="Calibri" w:hAnsi="Calibri"/>
              </w:rPr>
            </w:pPr>
            <w:r>
              <w:t xml:space="preserve">Zajistit krizový hygienický servis pro osoby, které nemají stabilní bydlení (nevyhovující bydlení bez tekoucí vody, elektřiny, lidé bez domova) pro prevenci zdravotních a sociálních </w:t>
            </w:r>
            <w:r>
              <w:t>rizik a usnadnění cesty k sociálnímu začlenění (bydlení, zaměstnání, …). Dále i pro lidi, kteří se v důsledku bytové havárie ocitli bez možnosti provést hygienické úkony.</w:t>
            </w:r>
          </w:p>
          <w:p w:rsidR="008149DD" w:rsidRDefault="00EE5874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Projednat se samosprávou možnost zřízení hygienického servisu v návaznosti na některé</w:t>
            </w:r>
            <w:r>
              <w:t xml:space="preserve"> z veřejných WC,</w:t>
            </w:r>
          </w:p>
          <w:p w:rsidR="008149DD" w:rsidRDefault="00EE5874">
            <w:pPr>
              <w:widowControl w:val="0"/>
              <w:numPr>
                <w:ilvl w:val="0"/>
                <w:numId w:val="34"/>
              </w:numPr>
              <w:spacing w:after="0" w:line="240" w:lineRule="auto"/>
              <w:jc w:val="left"/>
              <w:rPr>
                <w:rFonts w:ascii="Calibri" w:hAnsi="Calibri"/>
              </w:rPr>
            </w:pPr>
            <w:r>
              <w:t>zvýšit sezónní využití hygienického servisu kombinací s veřejnou sprchou pro cyklisty / turisty apod.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Dopad na cílové skupiny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Zajištění základních hygienických potřeb.</w:t>
            </w:r>
          </w:p>
          <w:p w:rsidR="008149DD" w:rsidRDefault="00EE5874">
            <w:pPr>
              <w:pStyle w:val="Bezmezer"/>
              <w:widowControl w:val="0"/>
            </w:pPr>
            <w:r>
              <w:t>Prevence zdravotních a sociálních rizik.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Harmonogram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2024 - 2025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Rea</w:t>
            </w:r>
            <w:r>
              <w:t>lizátor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Zdroje financování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město Hlinsko (+ případná kombinace s placenou veřejnou službou)</w:t>
            </w:r>
          </w:p>
        </w:tc>
      </w:tr>
      <w:tr w:rsidR="008149DD">
        <w:trPr>
          <w:trHeight w:val="28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Kritéria hodnocení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Vznik krizového hygienického servisu.</w:t>
            </w:r>
          </w:p>
        </w:tc>
      </w:tr>
      <w:tr w:rsidR="008149DD">
        <w:trPr>
          <w:trHeight w:val="288"/>
        </w:trPr>
        <w:tc>
          <w:tcPr>
            <w:tcW w:w="15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EE5874">
            <w:pPr>
              <w:pStyle w:val="Bezmezer"/>
              <w:widowControl w:val="0"/>
            </w:pPr>
            <w:r>
              <w:t>Rizika realizace</w:t>
            </w: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Záměr nebude přijatelný pro město Hlinsko</w:t>
            </w:r>
          </w:p>
        </w:tc>
      </w:tr>
      <w:tr w:rsidR="008149DD">
        <w:trPr>
          <w:trHeight w:val="28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Stavební překážky v realizaci</w:t>
            </w:r>
            <w:r>
              <w:t xml:space="preserve"> záměru.</w:t>
            </w:r>
          </w:p>
        </w:tc>
      </w:tr>
      <w:tr w:rsidR="008149DD">
        <w:trPr>
          <w:trHeight w:val="28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Nedostatek financí pro realizaci.</w:t>
            </w:r>
          </w:p>
        </w:tc>
      </w:tr>
      <w:tr w:rsidR="008149DD">
        <w:trPr>
          <w:trHeight w:val="288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149DD" w:rsidRDefault="008149DD">
            <w:pPr>
              <w:pStyle w:val="Bezmezer"/>
              <w:widowControl w:val="0"/>
            </w:pPr>
          </w:p>
        </w:tc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149DD" w:rsidRDefault="00EE5874">
            <w:pPr>
              <w:pStyle w:val="Bezmezer"/>
              <w:widowControl w:val="0"/>
            </w:pPr>
            <w:r>
              <w:t>Nedostatečné využití hygienického servisu, pokud nebude zacílen i na sezonní cílové skupiny.</w:t>
            </w:r>
          </w:p>
        </w:tc>
      </w:tr>
    </w:tbl>
    <w:p w:rsidR="008149DD" w:rsidRDefault="008149DD"/>
    <w:p w:rsidR="008149DD" w:rsidRDefault="008149DD">
      <w:bookmarkStart w:id="39" w:name="_GoBack"/>
      <w:bookmarkEnd w:id="39"/>
    </w:p>
    <w:sectPr w:rsidR="008149DD">
      <w:headerReference w:type="default" r:id="rId14"/>
      <w:footerReference w:type="default" r:id="rId15"/>
      <w:pgSz w:w="16838" w:h="11906" w:orient="landscape"/>
      <w:pgMar w:top="570" w:right="1417" w:bottom="716" w:left="1417" w:header="0" w:footer="44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E5874">
      <w:pPr>
        <w:spacing w:after="0" w:line="240" w:lineRule="auto"/>
      </w:pPr>
      <w:r>
        <w:separator/>
      </w:r>
    </w:p>
  </w:endnote>
  <w:endnote w:type="continuationSeparator" w:id="0">
    <w:p w:rsidR="00000000" w:rsidRDefault="00EE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yriadPro-Black">
    <w:panose1 w:val="00000000000000000000"/>
    <w:charset w:val="00"/>
    <w:family w:val="roman"/>
    <w:notTrueType/>
    <w:pitch w:val="default"/>
  </w:font>
  <w:font w:name="ArialMT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D" w:rsidRDefault="008149DD">
    <w:pPr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331051"/>
      <w:docPartObj>
        <w:docPartGallery w:val="Page Numbers (Bottom of Page)"/>
        <w:docPartUnique/>
      </w:docPartObj>
    </w:sdtPr>
    <w:sdtEndPr/>
    <w:sdtContent>
      <w:p w:rsidR="008149DD" w:rsidRDefault="00EE5874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  <w:p w:rsidR="008149DD" w:rsidRDefault="00EE5874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DD" w:rsidRDefault="008149DD">
      <w:pPr>
        <w:rPr>
          <w:sz w:val="12"/>
        </w:rPr>
      </w:pPr>
    </w:p>
  </w:footnote>
  <w:footnote w:type="continuationSeparator" w:id="0">
    <w:p w:rsidR="008149DD" w:rsidRDefault="008149DD">
      <w:pPr>
        <w:rPr>
          <w:sz w:val="12"/>
        </w:rPr>
      </w:pPr>
    </w:p>
  </w:footnote>
  <w:footnote w:id="1">
    <w:p w:rsidR="008149DD" w:rsidRDefault="00EE5874">
      <w:pPr>
        <w:pStyle w:val="Textpoznpodarou"/>
        <w:widowControl w:val="0"/>
      </w:pPr>
      <w:r>
        <w:rPr>
          <w:rStyle w:val="Znakypropoznmkupodarou"/>
        </w:rPr>
        <w:footnoteRef/>
      </w:r>
      <w:r>
        <w:tab/>
        <w:t xml:space="preserve">Viz </w:t>
      </w:r>
      <w:r>
        <w:rPr>
          <w:i/>
          <w:iCs/>
        </w:rPr>
        <w:t xml:space="preserve">Kritéria sociálních služeb komunitního charakteru a kritéria transformace a </w:t>
      </w:r>
      <w:r>
        <w:rPr>
          <w:i/>
          <w:iCs/>
        </w:rPr>
        <w:t>deinstitucionalizace</w:t>
      </w:r>
      <w:r>
        <w:t xml:space="preserve">. MPSV ČR. Platné od 1. 4. 2022. Dostupné z: </w:t>
      </w:r>
      <w:hyperlink r:id="rId1">
        <w:r>
          <w:rPr>
            <w:rStyle w:val="Hypertextovodkaz1"/>
          </w:rPr>
          <w:t>https://www.mpsv.cz/kriteria-socialnich-sluzeb-komunitn</w:t>
        </w:r>
        <w:r>
          <w:rPr>
            <w:rStyle w:val="Hypertextovodkaz1"/>
          </w:rPr>
          <w:t>iho-charakteru-a-kriteria-transformace-a-deinstitucionalizace</w:t>
        </w:r>
      </w:hyperlink>
      <w:r>
        <w:t>. Poslední aktualizace 25. 4. 2022.</w:t>
      </w:r>
    </w:p>
  </w:footnote>
  <w:footnote w:id="2">
    <w:p w:rsidR="008149DD" w:rsidRDefault="00EE5874">
      <w:pPr>
        <w:pStyle w:val="Textpoznpodarou"/>
        <w:widowControl w:val="0"/>
      </w:pPr>
      <w:r>
        <w:rPr>
          <w:rStyle w:val="Znakypropoznmkupodarou"/>
        </w:rPr>
        <w:footnoteRef/>
      </w:r>
      <w:r>
        <w:tab/>
        <w:t xml:space="preserve">Údaje v tabulce převzaty z Registru poskytovatelů sociálních služeb MPSV. </w:t>
      </w:r>
      <w:r>
        <w:rPr>
          <w:color w:val="000000"/>
        </w:rPr>
        <w:t xml:space="preserve">Dostupné z: </w:t>
      </w:r>
      <w:hyperlink r:id="rId2">
        <w:r>
          <w:rPr>
            <w:rStyle w:val="Hypertextovodkaz1"/>
            <w:color w:val="000000"/>
          </w:rPr>
          <w:t>http://iregistr.mpsv.cz/</w:t>
        </w:r>
      </w:hyperlink>
      <w:r>
        <w:rPr>
          <w:color w:val="000000"/>
        </w:rPr>
        <w:t xml:space="preserve"> a online Katalogu sociálních služeb ORP Hlinsko – odkaz na web v textu.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D" w:rsidRDefault="008149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D" w:rsidRDefault="00814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454"/>
    <w:multiLevelType w:val="multilevel"/>
    <w:tmpl w:val="DA26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" w15:restartNumberingAfterBreak="0">
    <w:nsid w:val="05386924"/>
    <w:multiLevelType w:val="multilevel"/>
    <w:tmpl w:val="90B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8D33397"/>
    <w:multiLevelType w:val="multilevel"/>
    <w:tmpl w:val="AD7A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" w15:restartNumberingAfterBreak="0">
    <w:nsid w:val="0B270A47"/>
    <w:multiLevelType w:val="multilevel"/>
    <w:tmpl w:val="07D8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4" w15:restartNumberingAfterBreak="0">
    <w:nsid w:val="0F862F48"/>
    <w:multiLevelType w:val="multilevel"/>
    <w:tmpl w:val="4DD8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5" w15:restartNumberingAfterBreak="0">
    <w:nsid w:val="10A96111"/>
    <w:multiLevelType w:val="multilevel"/>
    <w:tmpl w:val="3C74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6" w15:restartNumberingAfterBreak="0">
    <w:nsid w:val="115A4DB1"/>
    <w:multiLevelType w:val="multilevel"/>
    <w:tmpl w:val="9D46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7" w15:restartNumberingAfterBreak="0">
    <w:nsid w:val="11EA72C4"/>
    <w:multiLevelType w:val="multilevel"/>
    <w:tmpl w:val="24D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8" w15:restartNumberingAfterBreak="0">
    <w:nsid w:val="150F250D"/>
    <w:multiLevelType w:val="multilevel"/>
    <w:tmpl w:val="58FA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9" w15:restartNumberingAfterBreak="0">
    <w:nsid w:val="1ADF0AB5"/>
    <w:multiLevelType w:val="multilevel"/>
    <w:tmpl w:val="FAC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0" w15:restartNumberingAfterBreak="0">
    <w:nsid w:val="1C400D12"/>
    <w:multiLevelType w:val="multilevel"/>
    <w:tmpl w:val="5CBC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1" w15:restartNumberingAfterBreak="0">
    <w:nsid w:val="28DA7F94"/>
    <w:multiLevelType w:val="multilevel"/>
    <w:tmpl w:val="2CB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2" w15:restartNumberingAfterBreak="0">
    <w:nsid w:val="32BF7BAC"/>
    <w:multiLevelType w:val="multilevel"/>
    <w:tmpl w:val="72D2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3" w15:restartNumberingAfterBreak="0">
    <w:nsid w:val="3D8A1439"/>
    <w:multiLevelType w:val="multilevel"/>
    <w:tmpl w:val="EB44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4" w15:restartNumberingAfterBreak="0">
    <w:nsid w:val="42BF5E5F"/>
    <w:multiLevelType w:val="multilevel"/>
    <w:tmpl w:val="76F8765A"/>
    <w:lvl w:ilvl="0">
      <w:start w:val="5"/>
      <w:numFmt w:val="decimal"/>
      <w:pStyle w:val="Nadpis1"/>
      <w:lvlText w:val="%1."/>
      <w:lvlJc w:val="left"/>
      <w:pPr>
        <w:tabs>
          <w:tab w:val="num" w:pos="0"/>
        </w:tabs>
        <w:ind w:left="574" w:hanging="432"/>
      </w:pPr>
      <w:rPr>
        <w:b/>
        <w:bCs/>
        <w:sz w:val="32"/>
        <w:szCs w:val="32"/>
      </w:rPr>
    </w:lvl>
    <w:lvl w:ilvl="1">
      <w:start w:val="1"/>
      <w:numFmt w:val="decimal"/>
      <w:pStyle w:val="Nadpis2"/>
      <w:suff w:val="nothing"/>
      <w:lvlText w:val=" %1.%2 "/>
      <w:lvlJc w:val="left"/>
      <w:pPr>
        <w:tabs>
          <w:tab w:val="num" w:pos="0"/>
        </w:tabs>
        <w:ind w:left="1002" w:hanging="576"/>
      </w:pPr>
    </w:lvl>
    <w:lvl w:ilvl="2">
      <w:start w:val="1"/>
      <w:numFmt w:val="decimal"/>
      <w:pStyle w:val="Nadpis3"/>
      <w:lvlText w:val=" %1.%2.%3 "/>
      <w:lvlJc w:val="left"/>
      <w:pPr>
        <w:tabs>
          <w:tab w:val="num" w:pos="0"/>
        </w:tabs>
        <w:ind w:left="862" w:hanging="720"/>
      </w:pPr>
    </w:lvl>
    <w:lvl w:ilvl="3">
      <w:start w:val="1"/>
      <w:numFmt w:val="decimal"/>
      <w:pStyle w:val="Nadpis4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3740557"/>
    <w:multiLevelType w:val="multilevel"/>
    <w:tmpl w:val="1080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6" w15:restartNumberingAfterBreak="0">
    <w:nsid w:val="44E12A91"/>
    <w:multiLevelType w:val="multilevel"/>
    <w:tmpl w:val="4C04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7" w15:restartNumberingAfterBreak="0">
    <w:nsid w:val="4B6E7CCC"/>
    <w:multiLevelType w:val="multilevel"/>
    <w:tmpl w:val="EE90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8" w15:restartNumberingAfterBreak="0">
    <w:nsid w:val="4CBC7D16"/>
    <w:multiLevelType w:val="multilevel"/>
    <w:tmpl w:val="02B6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19" w15:restartNumberingAfterBreak="0">
    <w:nsid w:val="4D9101B7"/>
    <w:multiLevelType w:val="multilevel"/>
    <w:tmpl w:val="116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0" w15:restartNumberingAfterBreak="0">
    <w:nsid w:val="54F62F31"/>
    <w:multiLevelType w:val="multilevel"/>
    <w:tmpl w:val="48CAD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D25406"/>
    <w:multiLevelType w:val="multilevel"/>
    <w:tmpl w:val="60A6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2" w15:restartNumberingAfterBreak="0">
    <w:nsid w:val="58713D95"/>
    <w:multiLevelType w:val="multilevel"/>
    <w:tmpl w:val="65109586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3" w15:restartNumberingAfterBreak="0">
    <w:nsid w:val="5AA82E7C"/>
    <w:multiLevelType w:val="multilevel"/>
    <w:tmpl w:val="F34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D4D2ECC"/>
    <w:multiLevelType w:val="multilevel"/>
    <w:tmpl w:val="EBBE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5" w15:restartNumberingAfterBreak="0">
    <w:nsid w:val="5DF71839"/>
    <w:multiLevelType w:val="multilevel"/>
    <w:tmpl w:val="CC6E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6" w15:restartNumberingAfterBreak="0">
    <w:nsid w:val="5E6F1166"/>
    <w:multiLevelType w:val="multilevel"/>
    <w:tmpl w:val="46C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7" w15:restartNumberingAfterBreak="0">
    <w:nsid w:val="675F6863"/>
    <w:multiLevelType w:val="multilevel"/>
    <w:tmpl w:val="D9DA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8" w15:restartNumberingAfterBreak="0">
    <w:nsid w:val="6B487192"/>
    <w:multiLevelType w:val="multilevel"/>
    <w:tmpl w:val="867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29" w15:restartNumberingAfterBreak="0">
    <w:nsid w:val="6CEE473A"/>
    <w:multiLevelType w:val="multilevel"/>
    <w:tmpl w:val="9352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0" w15:restartNumberingAfterBreak="0">
    <w:nsid w:val="6EA1724D"/>
    <w:multiLevelType w:val="multilevel"/>
    <w:tmpl w:val="7E8C5068"/>
    <w:lvl w:ilvl="0">
      <w:start w:val="1"/>
      <w:numFmt w:val="decimal"/>
      <w:lvlText w:val="%1."/>
      <w:lvlJc w:val="left"/>
      <w:pPr>
        <w:tabs>
          <w:tab w:val="num" w:pos="0"/>
        </w:tabs>
        <w:ind w:left="574" w:hanging="432"/>
      </w:pPr>
      <w:rPr>
        <w:rFonts w:ascii="Calibri" w:hAnsi="Calibri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2" w:hanging="576"/>
      </w:pPr>
      <w:rPr>
        <w:b w:val="0"/>
        <w:bCs/>
        <w:sz w:val="20"/>
        <w:szCs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b/>
        <w:bCs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64" w:hanging="864"/>
      </w:pPr>
      <w:rPr>
        <w:b/>
        <w:bCs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08" w:hanging="1008"/>
      </w:pPr>
      <w:rPr>
        <w:b/>
        <w:bCs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52" w:hanging="1152"/>
      </w:pPr>
      <w:rPr>
        <w:b/>
        <w:bCs/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6" w:hanging="1296"/>
      </w:pPr>
      <w:rPr>
        <w:b/>
        <w:bCs/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bCs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4" w:hanging="1584"/>
      </w:pPr>
      <w:rPr>
        <w:b/>
        <w:bCs/>
        <w:sz w:val="32"/>
        <w:szCs w:val="32"/>
      </w:rPr>
    </w:lvl>
  </w:abstractNum>
  <w:abstractNum w:abstractNumId="31" w15:restartNumberingAfterBreak="0">
    <w:nsid w:val="77331F35"/>
    <w:multiLevelType w:val="multilevel"/>
    <w:tmpl w:val="EA2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2" w15:restartNumberingAfterBreak="0">
    <w:nsid w:val="7A5727B6"/>
    <w:multiLevelType w:val="multilevel"/>
    <w:tmpl w:val="4FBE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abstractNum w:abstractNumId="33" w15:restartNumberingAfterBreak="0">
    <w:nsid w:val="7DB54BFE"/>
    <w:multiLevelType w:val="multilevel"/>
    <w:tmpl w:val="1560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  <w:szCs w:val="20"/>
      </w:rPr>
    </w:lvl>
  </w:abstractNum>
  <w:num w:numId="1">
    <w:abstractNumId w:val="14"/>
  </w:num>
  <w:num w:numId="2">
    <w:abstractNumId w:val="30"/>
  </w:num>
  <w:num w:numId="3">
    <w:abstractNumId w:val="1"/>
  </w:num>
  <w:num w:numId="4">
    <w:abstractNumId w:val="23"/>
  </w:num>
  <w:num w:numId="5">
    <w:abstractNumId w:val="12"/>
  </w:num>
  <w:num w:numId="6">
    <w:abstractNumId w:val="22"/>
  </w:num>
  <w:num w:numId="7">
    <w:abstractNumId w:val="27"/>
  </w:num>
  <w:num w:numId="8">
    <w:abstractNumId w:val="26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21"/>
  </w:num>
  <w:num w:numId="14">
    <w:abstractNumId w:val="31"/>
  </w:num>
  <w:num w:numId="15">
    <w:abstractNumId w:val="11"/>
  </w:num>
  <w:num w:numId="16">
    <w:abstractNumId w:val="25"/>
  </w:num>
  <w:num w:numId="17">
    <w:abstractNumId w:val="33"/>
  </w:num>
  <w:num w:numId="18">
    <w:abstractNumId w:val="20"/>
  </w:num>
  <w:num w:numId="19">
    <w:abstractNumId w:val="6"/>
  </w:num>
  <w:num w:numId="20">
    <w:abstractNumId w:val="18"/>
  </w:num>
  <w:num w:numId="21">
    <w:abstractNumId w:val="15"/>
  </w:num>
  <w:num w:numId="22">
    <w:abstractNumId w:val="17"/>
  </w:num>
  <w:num w:numId="23">
    <w:abstractNumId w:val="29"/>
  </w:num>
  <w:num w:numId="24">
    <w:abstractNumId w:val="2"/>
  </w:num>
  <w:num w:numId="25">
    <w:abstractNumId w:val="9"/>
  </w:num>
  <w:num w:numId="26">
    <w:abstractNumId w:val="3"/>
  </w:num>
  <w:num w:numId="27">
    <w:abstractNumId w:val="13"/>
  </w:num>
  <w:num w:numId="28">
    <w:abstractNumId w:val="24"/>
  </w:num>
  <w:num w:numId="29">
    <w:abstractNumId w:val="19"/>
  </w:num>
  <w:num w:numId="30">
    <w:abstractNumId w:val="16"/>
  </w:num>
  <w:num w:numId="31">
    <w:abstractNumId w:val="5"/>
  </w:num>
  <w:num w:numId="32">
    <w:abstractNumId w:val="10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D"/>
    <w:rsid w:val="008149DD"/>
    <w:rsid w:val="00E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DB2E"/>
  <w15:docId w15:val="{2D6E3DCC-2D07-4084-A4BB-D4366330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CB3"/>
    <w:pPr>
      <w:spacing w:after="160" w:line="259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57E52"/>
    <w:pPr>
      <w:keepNext/>
      <w:keepLines/>
      <w:numPr>
        <w:numId w:val="1"/>
      </w:numPr>
      <w:spacing w:before="120" w:after="120"/>
      <w:ind w:left="432"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29A4"/>
    <w:pPr>
      <w:keepNext/>
      <w:keepLines/>
      <w:numPr>
        <w:ilvl w:val="1"/>
        <w:numId w:val="1"/>
      </w:numPr>
      <w:spacing w:before="40" w:after="0"/>
      <w:ind w:left="860" w:firstLine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345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AD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AD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AD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AD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AD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AD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1Char">
    <w:name w:val="Nad 1 Char"/>
    <w:basedOn w:val="Standardnpsmoodstavce"/>
    <w:link w:val="Nad1"/>
    <w:uiPriority w:val="99"/>
    <w:qFormat/>
    <w:rsid w:val="007C4CB2"/>
    <w:rPr>
      <w:b/>
      <w:bCs/>
      <w:iCs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57E5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qFormat/>
    <w:rsid w:val="00032A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B29A4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B03452"/>
    <w:rPr>
      <w:rFonts w:asciiTheme="majorHAnsi" w:eastAsiaTheme="majorEastAsia" w:hAnsiTheme="majorHAnsi" w:cstheme="majorBidi"/>
      <w:b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32A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032A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032A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032A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032A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032A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ulekChar">
    <w:name w:val="Titulek Char"/>
    <w:link w:val="Titulek"/>
    <w:uiPriority w:val="35"/>
    <w:qFormat/>
    <w:locked/>
    <w:rsid w:val="003E099B"/>
    <w:rPr>
      <w:rFonts w:eastAsia="Times New Roman" w:cs="Times New Roman"/>
      <w:b/>
      <w:bCs/>
      <w:sz w:val="20"/>
      <w:szCs w:val="20"/>
      <w:lang w:eastAsia="cs-CZ"/>
    </w:rPr>
  </w:style>
  <w:style w:type="character" w:customStyle="1" w:styleId="BNTEXTPRCEChar">
    <w:name w:val="BĚŽNÝ TEXT PRÁCE Char"/>
    <w:basedOn w:val="Standardnpsmoodstavce"/>
    <w:link w:val="BNTEXTPRCE"/>
    <w:qFormat/>
    <w:rsid w:val="00117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qFormat/>
    <w:rsid w:val="00105798"/>
    <w:rPr>
      <w:i/>
      <w:iCs/>
      <w:color w:val="404040" w:themeColor="text1" w:themeTint="BF"/>
      <w:sz w:val="20"/>
    </w:rPr>
  </w:style>
  <w:style w:type="character" w:customStyle="1" w:styleId="Hypertextovodkaz1">
    <w:name w:val="Hypertextový odkaz1"/>
    <w:basedOn w:val="Standardnpsmoodstavce"/>
    <w:uiPriority w:val="99"/>
    <w:semiHidden/>
    <w:unhideWhenUsed/>
    <w:qFormat/>
    <w:rsid w:val="00B06210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D7887"/>
  </w:style>
  <w:style w:type="character" w:customStyle="1" w:styleId="ZpatChar">
    <w:name w:val="Zápatí Char"/>
    <w:basedOn w:val="Standardnpsmoodstavce"/>
    <w:link w:val="Zpat"/>
    <w:uiPriority w:val="99"/>
    <w:qFormat/>
    <w:rsid w:val="00DD7887"/>
  </w:style>
  <w:style w:type="character" w:customStyle="1" w:styleId="Odkaznakoment1">
    <w:name w:val="Odkaz na komentář1"/>
    <w:uiPriority w:val="99"/>
    <w:qFormat/>
    <w:rsid w:val="009B4328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9B4328"/>
    <w:rPr>
      <w:rFonts w:asciiTheme="minorHAnsi" w:hAnsiTheme="minorHAnsi"/>
      <w:b/>
      <w:i w:val="0"/>
      <w:iCs/>
      <w:sz w:val="24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E099B"/>
    <w:rPr>
      <w:rFonts w:eastAsiaTheme="minorEastAsia"/>
      <w:color w:val="5A5A5A" w:themeColor="text1" w:themeTint="A5"/>
      <w:spacing w:val="15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F5EBC"/>
    <w:rPr>
      <w:rFonts w:ascii="Calibri" w:eastAsia="Calibri" w:hAnsi="Calibri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qFormat/>
    <w:rsid w:val="00681076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6E29AB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qFormat/>
    <w:rsid w:val="002045B8"/>
    <w:rPr>
      <w:i/>
      <w:iCs/>
    </w:rPr>
  </w:style>
  <w:style w:type="character" w:styleId="Odkazjemn">
    <w:name w:val="Subtle Reference"/>
    <w:basedOn w:val="Standardnpsmoodstavce"/>
    <w:uiPriority w:val="31"/>
    <w:qFormat/>
    <w:rsid w:val="00A8730A"/>
    <w:rPr>
      <w:smallCaps/>
      <w:color w:val="5A5A5A" w:themeColor="text1" w:themeTint="A5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32C3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C7D7E"/>
    <w:rPr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C405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nalChar">
    <w:name w:val="anal Char"/>
    <w:basedOn w:val="Nadpis1Char"/>
    <w:qFormat/>
    <w:rsid w:val="00D9609D"/>
    <w:rPr>
      <w:rFonts w:ascii="Calibri Light" w:eastAsiaTheme="majorEastAsia" w:hAnsi="Calibri Light" w:cs="Calibri Light"/>
      <w:b/>
      <w:sz w:val="100"/>
      <w:szCs w:val="100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E435F5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BF0ED7"/>
    <w:rPr>
      <w:color w:val="954F72" w:themeColor="followedHyperlink"/>
      <w:u w:val="single"/>
    </w:rPr>
  </w:style>
  <w:style w:type="character" w:customStyle="1" w:styleId="Odkaznarejstk">
    <w:name w:val="Odkaz na rejstřík"/>
    <w:qFormat/>
  </w:style>
  <w:style w:type="character" w:customStyle="1" w:styleId="Odrky">
    <w:name w:val="Odrážky"/>
    <w:qFormat/>
    <w:rPr>
      <w:rFonts w:ascii="Calibri" w:eastAsia="OpenSymbol" w:hAnsi="Calibri" w:cs="OpenSymbol"/>
      <w:sz w:val="20"/>
      <w:szCs w:val="20"/>
    </w:rPr>
  </w:style>
  <w:style w:type="character" w:customStyle="1" w:styleId="slodku1">
    <w:name w:val="Číslo řádku1"/>
    <w:qFormat/>
  </w:style>
  <w:style w:type="character" w:customStyle="1" w:styleId="h1a">
    <w:name w:val="h1a"/>
    <w:basedOn w:val="Standardnpsmoodstavce"/>
    <w:qFormat/>
  </w:style>
  <w:style w:type="character" w:customStyle="1" w:styleId="Symbolyproslovn">
    <w:name w:val="Symboly pro číslování"/>
    <w:qFormat/>
    <w:rPr>
      <w:b/>
      <w:bCs/>
      <w:sz w:val="32"/>
      <w:szCs w:val="32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681076"/>
    <w:pPr>
      <w:spacing w:after="140" w:line="288" w:lineRule="auto"/>
      <w:jc w:val="left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Seznam">
    <w:name w:val="List"/>
    <w:basedOn w:val="Zkladntext"/>
  </w:style>
  <w:style w:type="paragraph" w:styleId="Titulek">
    <w:name w:val="caption"/>
    <w:basedOn w:val="Normln"/>
    <w:next w:val="Normln"/>
    <w:link w:val="TitulekChar"/>
    <w:uiPriority w:val="35"/>
    <w:qFormat/>
    <w:rsid w:val="003E099B"/>
    <w:pPr>
      <w:spacing w:after="0" w:line="240" w:lineRule="auto"/>
    </w:pPr>
    <w:rPr>
      <w:rFonts w:eastAsia="Times New Roman" w:cs="Times New Roman"/>
      <w:b/>
      <w:bCs/>
      <w:sz w:val="20"/>
      <w:szCs w:val="20"/>
      <w:lang w:eastAsia="cs-CZ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ad1">
    <w:name w:val="Nad 1"/>
    <w:basedOn w:val="Normln"/>
    <w:next w:val="Normln"/>
    <w:link w:val="Nad1Char"/>
    <w:uiPriority w:val="99"/>
    <w:qFormat/>
    <w:rsid w:val="007C4CB2"/>
    <w:pPr>
      <w:keepNext/>
      <w:tabs>
        <w:tab w:val="left" w:pos="720"/>
        <w:tab w:val="left" w:pos="936"/>
        <w:tab w:val="left" w:pos="1430"/>
      </w:tabs>
      <w:spacing w:before="240" w:after="240" w:line="240" w:lineRule="auto"/>
      <w:ind w:left="641" w:hanging="357"/>
    </w:pPr>
    <w:rPr>
      <w:b/>
      <w:bCs/>
      <w:iCs/>
      <w:sz w:val="28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032A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Bezmezer">
    <w:name w:val="No Spacing"/>
    <w:link w:val="BezmezerChar"/>
    <w:uiPriority w:val="1"/>
    <w:qFormat/>
    <w:rsid w:val="00D61389"/>
    <w:pPr>
      <w:jc w:val="both"/>
    </w:pPr>
    <w:rPr>
      <w:rFonts w:cs="Times New Roman"/>
      <w:sz w:val="22"/>
    </w:rPr>
  </w:style>
  <w:style w:type="paragraph" w:customStyle="1" w:styleId="BNTEXTPRCE">
    <w:name w:val="BĚŽNÝ TEXT PRÁCE"/>
    <w:basedOn w:val="Normln"/>
    <w:link w:val="BNTEXTPRCEChar"/>
    <w:qFormat/>
    <w:rsid w:val="00117230"/>
    <w:pPr>
      <w:tabs>
        <w:tab w:val="left" w:pos="312"/>
        <w:tab w:val="left" w:pos="879"/>
      </w:tabs>
      <w:spacing w:after="0" w:line="276" w:lineRule="auto"/>
      <w:ind w:firstLine="3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8069A3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05798"/>
    <w:pPr>
      <w:spacing w:before="120" w:after="120" w:line="240" w:lineRule="auto"/>
      <w:ind w:left="2124" w:right="864"/>
      <w:jc w:val="center"/>
    </w:pPr>
    <w:rPr>
      <w:i/>
      <w:iCs/>
      <w:color w:val="404040" w:themeColor="text1" w:themeTint="BF"/>
      <w:sz w:val="20"/>
    </w:rPr>
  </w:style>
  <w:style w:type="paragraph" w:styleId="Odstavecseseznamem">
    <w:name w:val="List Paragraph"/>
    <w:basedOn w:val="Normln"/>
    <w:uiPriority w:val="34"/>
    <w:qFormat/>
    <w:rsid w:val="00DA7BF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16F13"/>
    <w:pPr>
      <w:tabs>
        <w:tab w:val="left" w:pos="660"/>
        <w:tab w:val="right" w:leader="dot" w:pos="9072"/>
      </w:tabs>
      <w:spacing w:after="100"/>
    </w:pPr>
    <w:rPr>
      <w:sz w:val="28"/>
    </w:rPr>
  </w:style>
  <w:style w:type="paragraph" w:styleId="Obsah2">
    <w:name w:val="toc 2"/>
    <w:basedOn w:val="Normln"/>
    <w:next w:val="Normln"/>
    <w:autoRedefine/>
    <w:uiPriority w:val="39"/>
    <w:unhideWhenUsed/>
    <w:rsid w:val="00AE09AD"/>
    <w:pPr>
      <w:tabs>
        <w:tab w:val="left" w:pos="880"/>
        <w:tab w:val="right" w:leader="dot" w:pos="9062"/>
      </w:tabs>
      <w:spacing w:after="100"/>
      <w:ind w:left="426"/>
    </w:pPr>
    <w:rPr>
      <w:sz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D788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D7887"/>
    <w:pPr>
      <w:tabs>
        <w:tab w:val="center" w:pos="4536"/>
        <w:tab w:val="right" w:pos="9072"/>
      </w:tabs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3E099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uiPriority w:val="99"/>
    <w:qFormat/>
    <w:rsid w:val="00321C37"/>
    <w:rPr>
      <w:rFonts w:ascii="Calibri" w:eastAsia="Times New Roman" w:hAnsi="Calibri" w:cs="Calibri"/>
      <w:color w:val="000000"/>
      <w:kern w:val="2"/>
      <w:sz w:val="24"/>
      <w:szCs w:val="24"/>
    </w:rPr>
  </w:style>
  <w:style w:type="paragraph" w:customStyle="1" w:styleId="Vodorovnra">
    <w:name w:val="Vodorovná čára"/>
    <w:basedOn w:val="Normln"/>
    <w:uiPriority w:val="99"/>
    <w:qFormat/>
    <w:rsid w:val="00321C37"/>
    <w:pPr>
      <w:jc w:val="left"/>
    </w:pPr>
    <w:rPr>
      <w:rFonts w:ascii="Calibri" w:eastAsia="Times New Roman" w:hAnsi="Calibri" w:cs="Tahoma"/>
      <w:color w:val="00000A"/>
      <w:kern w:val="2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EF5EBC"/>
    <w:pPr>
      <w:jc w:val="left"/>
    </w:pPr>
    <w:rPr>
      <w:rFonts w:ascii="Calibri" w:eastAsia="Calibri" w:hAnsi="Calibri" w:cs="Times New Roman"/>
      <w:sz w:val="20"/>
      <w:szCs w:val="20"/>
    </w:rPr>
  </w:style>
  <w:style w:type="paragraph" w:customStyle="1" w:styleId="l5">
    <w:name w:val="l5"/>
    <w:basedOn w:val="Normln"/>
    <w:qFormat/>
    <w:rsid w:val="002045B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qFormat/>
    <w:rsid w:val="002045B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qFormat/>
    <w:rsid w:val="002045B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qFormat/>
    <w:rsid w:val="002045B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qFormat/>
    <w:rsid w:val="002045B8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1940AF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32C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C405F"/>
    <w:pPr>
      <w:spacing w:line="240" w:lineRule="auto"/>
      <w:jc w:val="both"/>
    </w:pPr>
    <w:rPr>
      <w:rFonts w:asciiTheme="minorHAnsi" w:eastAsiaTheme="minorHAnsi" w:hAnsiTheme="minorHAnsi" w:cstheme="minorBidi"/>
      <w:b/>
      <w:bCs/>
    </w:rPr>
  </w:style>
  <w:style w:type="paragraph" w:customStyle="1" w:styleId="Graf-Obrazek">
    <w:name w:val="Graf-Obrazek"/>
    <w:basedOn w:val="Titulek"/>
    <w:qFormat/>
    <w:rsid w:val="00753A46"/>
    <w:pPr>
      <w:spacing w:before="240" w:after="120" w:line="276" w:lineRule="auto"/>
      <w:ind w:left="284"/>
    </w:pPr>
    <w:rPr>
      <w:rFonts w:ascii="Arial" w:eastAsia="Calibri" w:hAnsi="Arial" w:cs="Arial"/>
      <w:lang w:eastAsia="en-US"/>
    </w:rPr>
  </w:style>
  <w:style w:type="paragraph" w:customStyle="1" w:styleId="Text-zkladn">
    <w:name w:val="Text-základní"/>
    <w:basedOn w:val="Normln"/>
    <w:qFormat/>
    <w:rsid w:val="00B4142D"/>
    <w:pPr>
      <w:spacing w:before="120" w:after="120" w:line="288" w:lineRule="auto"/>
      <w:ind w:firstLine="425"/>
    </w:pPr>
    <w:rPr>
      <w:rFonts w:ascii="Arial" w:eastAsia="MyriadPro-Black" w:hAnsi="Arial" w:cs="Arial"/>
      <w:color w:val="000000"/>
      <w:szCs w:val="24"/>
      <w:lang w:eastAsia="cs-CZ"/>
    </w:rPr>
  </w:style>
  <w:style w:type="paragraph" w:customStyle="1" w:styleId="Nzevgrafu-tabulky">
    <w:name w:val="Název grafu-tabulky"/>
    <w:basedOn w:val="Titulek"/>
    <w:qFormat/>
    <w:rsid w:val="00B4142D"/>
    <w:pPr>
      <w:tabs>
        <w:tab w:val="left" w:pos="1134"/>
      </w:tabs>
      <w:spacing w:before="240" w:after="120" w:line="276" w:lineRule="auto"/>
      <w:ind w:left="1134" w:hanging="1134"/>
    </w:pPr>
    <w:rPr>
      <w:rFonts w:ascii="Arial" w:eastAsia="Calibri" w:hAnsi="Arial" w:cs="Arial"/>
      <w:b w:val="0"/>
      <w:color w:val="0070C0"/>
      <w:sz w:val="22"/>
      <w:szCs w:val="22"/>
      <w:lang w:eastAsia="en-US"/>
    </w:rPr>
  </w:style>
  <w:style w:type="paragraph" w:customStyle="1" w:styleId="western">
    <w:name w:val="western"/>
    <w:basedOn w:val="Normln"/>
    <w:qFormat/>
    <w:rsid w:val="003E25C7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al">
    <w:name w:val="anal"/>
    <w:basedOn w:val="Nadpis1"/>
    <w:qFormat/>
    <w:rsid w:val="00D9609D"/>
    <w:pPr>
      <w:numPr>
        <w:numId w:val="0"/>
      </w:numPr>
      <w:ind w:left="432"/>
      <w:jc w:val="center"/>
    </w:pPr>
    <w:rPr>
      <w:rFonts w:ascii="Calibri Light" w:hAnsi="Calibri Light" w:cs="Calibri Light"/>
      <w:sz w:val="100"/>
      <w:szCs w:val="100"/>
      <w:u w:val="single"/>
    </w:rPr>
  </w:style>
  <w:style w:type="paragraph" w:styleId="Seznamobrzk">
    <w:name w:val="table of figures"/>
    <w:basedOn w:val="Normln"/>
    <w:next w:val="Normln"/>
    <w:uiPriority w:val="99"/>
    <w:unhideWhenUsed/>
    <w:qFormat/>
    <w:rsid w:val="00A50FDD"/>
    <w:pPr>
      <w:spacing w:after="0"/>
    </w:pPr>
  </w:style>
  <w:style w:type="paragraph" w:styleId="Revize">
    <w:name w:val="Revision"/>
    <w:uiPriority w:val="99"/>
    <w:semiHidden/>
    <w:qFormat/>
    <w:rsid w:val="00337780"/>
    <w:rPr>
      <w:sz w:val="22"/>
    </w:rPr>
  </w:style>
  <w:style w:type="paragraph" w:customStyle="1" w:styleId="Obsahrmce">
    <w:name w:val="Obsah rámce"/>
    <w:basedOn w:val="Normln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qFormat/>
    <w:pPr>
      <w:spacing w:before="60" w:after="60"/>
      <w:outlineLvl w:val="8"/>
    </w:pPr>
    <w:rPr>
      <w:b/>
      <w:bCs/>
      <w:sz w:val="18"/>
      <w:szCs w:val="18"/>
    </w:r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  <w:style w:type="paragraph" w:styleId="Hlavikarejstku">
    <w:name w:val="index heading"/>
    <w:basedOn w:val="Nadpis"/>
    <w:pPr>
      <w:suppressLineNumbers/>
    </w:pPr>
    <w:rPr>
      <w:b/>
      <w:bCs/>
      <w:sz w:val="32"/>
      <w:szCs w:val="32"/>
    </w:rPr>
  </w:style>
  <w:style w:type="paragraph" w:styleId="Nadpisobsahu">
    <w:name w:val="TOC Heading"/>
    <w:basedOn w:val="Hlavikarejstku"/>
  </w:style>
  <w:style w:type="table" w:styleId="Mkatabulky">
    <w:name w:val="Table Grid"/>
    <w:basedOn w:val="Normlntabulka"/>
    <w:uiPriority w:val="39"/>
    <w:rsid w:val="002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hlinecko.cz/_katalog-socialni-sluzby/abou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registr.mpsv.cz/" TargetMode="External"/><Relationship Id="rId1" Type="http://schemas.openxmlformats.org/officeDocument/2006/relationships/hyperlink" Target="https://www.mpsv.cz/kriteria-socialnich-sluzeb-komunitniho-charakteru-a-kriteria-transformace-a-deinstitucionaliz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0FE2-4886-44F8-972F-05D5CD79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37</Pages>
  <Words>13561</Words>
  <Characters>80010</Characters>
  <Application>Microsoft Office Word</Application>
  <DocSecurity>0</DocSecurity>
  <Lines>666</Lines>
  <Paragraphs>186</Paragraphs>
  <ScaleCrop>false</ScaleCrop>
  <Company>MUHlinsko</Company>
  <LinksUpToDate>false</LinksUpToDate>
  <CharactersWithSpaces>93385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dc:description/>
  <cp:lastModifiedBy>Martin Vtípil</cp:lastModifiedBy>
  <cp:revision>12</cp:revision>
  <cp:lastPrinted>2023-04-14T13:30:00Z</cp:lastPrinted>
  <dcterms:created xsi:type="dcterms:W3CDTF">2023-07-12T06:26:00Z</dcterms:created>
  <dcterms:modified xsi:type="dcterms:W3CDTF">2023-07-14T09:13:00Z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